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071FF8" w14:textId="77777777" w:rsidR="005E617B" w:rsidRDefault="005E617B">
      <w:pPr>
        <w:pStyle w:val="GvdeMetni"/>
        <w:ind w:left="0"/>
        <w:rPr>
          <w:rFonts w:ascii="Arial"/>
          <w:sz w:val="16"/>
        </w:rPr>
      </w:pPr>
    </w:p>
    <w:p w14:paraId="5B625E9C" w14:textId="77777777" w:rsidR="005E617B" w:rsidRDefault="005E617B">
      <w:pPr>
        <w:pStyle w:val="GvdeMetni"/>
        <w:ind w:left="0"/>
        <w:rPr>
          <w:rFonts w:ascii="Arial"/>
          <w:sz w:val="16"/>
        </w:rPr>
      </w:pPr>
    </w:p>
    <w:p w14:paraId="67D467B4" w14:textId="77777777" w:rsidR="005E617B" w:rsidRDefault="005E617B">
      <w:pPr>
        <w:pStyle w:val="GvdeMetni"/>
        <w:spacing w:before="6"/>
        <w:ind w:left="0"/>
        <w:rPr>
          <w:rFonts w:ascii="Arial"/>
          <w:sz w:val="20"/>
        </w:rPr>
      </w:pPr>
    </w:p>
    <w:p w14:paraId="5A9B46D8" w14:textId="77777777" w:rsidR="005E617B" w:rsidRDefault="009C06CF">
      <w:pPr>
        <w:pStyle w:val="Balk1"/>
        <w:ind w:left="1527" w:right="968"/>
        <w:jc w:val="center"/>
        <w:rPr>
          <w:sz w:val="13"/>
        </w:rPr>
      </w:pPr>
      <w:r>
        <w:rPr>
          <w:color w:val="1B273C"/>
        </w:rPr>
        <w:t xml:space="preserve">GEBZE TEKNİK ÜNİVERSİTESİ DÖNER SERMAYE İŞLETMESİ YÖNETMELİĞİ </w:t>
      </w:r>
      <w:bookmarkStart w:id="0" w:name="_GoBack"/>
      <w:bookmarkEnd w:id="0"/>
    </w:p>
    <w:p w14:paraId="11F9C03C" w14:textId="77777777" w:rsidR="005E617B" w:rsidRDefault="005E617B">
      <w:pPr>
        <w:pStyle w:val="GvdeMetni"/>
        <w:spacing w:before="2"/>
        <w:ind w:left="0"/>
        <w:rPr>
          <w:b/>
          <w:sz w:val="27"/>
        </w:rPr>
      </w:pPr>
    </w:p>
    <w:p w14:paraId="355089A0" w14:textId="77777777" w:rsidR="005E617B" w:rsidRDefault="009C06CF">
      <w:pPr>
        <w:ind w:left="666"/>
        <w:rPr>
          <w:b/>
        </w:rPr>
      </w:pPr>
      <w:r>
        <w:rPr>
          <w:b/>
          <w:color w:val="1B273C"/>
        </w:rPr>
        <w:t>Kapsam ve Dayanak</w:t>
      </w:r>
    </w:p>
    <w:p w14:paraId="6DBC9211" w14:textId="77777777" w:rsidR="005E617B" w:rsidRDefault="009C06CF">
      <w:pPr>
        <w:spacing w:before="32"/>
        <w:ind w:left="666"/>
        <w:rPr>
          <w:b/>
        </w:rPr>
      </w:pPr>
      <w:r>
        <w:rPr>
          <w:b/>
          <w:color w:val="1B273C"/>
        </w:rPr>
        <w:t>Madde 1</w:t>
      </w:r>
      <w:r>
        <w:rPr>
          <w:color w:val="1B273C"/>
        </w:rPr>
        <w:t xml:space="preserve">- </w:t>
      </w:r>
      <w:r>
        <w:rPr>
          <w:b/>
          <w:color w:val="1B273C"/>
        </w:rPr>
        <w:t>(Değişik:RG-12/1/2015-29234)</w:t>
      </w:r>
    </w:p>
    <w:p w14:paraId="763C994C" w14:textId="77777777" w:rsidR="005E617B" w:rsidRDefault="009C06CF">
      <w:pPr>
        <w:pStyle w:val="GvdeMetni"/>
        <w:spacing w:before="31" w:line="268" w:lineRule="auto"/>
        <w:ind w:right="120" w:firstLine="566"/>
        <w:jc w:val="both"/>
      </w:pPr>
      <w:r>
        <w:rPr>
          <w:color w:val="1B273C"/>
        </w:rPr>
        <w:t>Bu Yönetmelik Gebze Teknik Üniversitesinin tüm eğitim, öğretim, araştırma ve uygulama birimlerinin faaliyet alanlarını kapsamak üzere 5/7/1983 tarihli ve 18098 sayılı Resmî Gazete</w:t>
      </w:r>
      <w:r>
        <w:rPr>
          <w:rFonts w:ascii="Wingdings 2" w:hAnsi="Wingdings 2"/>
          <w:color w:val="1B273C"/>
        </w:rPr>
        <w:t></w:t>
      </w:r>
      <w:r>
        <w:rPr>
          <w:color w:val="1B273C"/>
        </w:rPr>
        <w:t>fde yayımlanan 2547 sayılı Yükseköğretim Kanununun 58 inci Maddesine Göre Döner Sermaye İşletmelerinin Kurulmasında Uyulacak Esaslara İlişkin Yönetmeliğin 2 nci maddesine göre hazırlanmıştır.</w:t>
      </w:r>
    </w:p>
    <w:p w14:paraId="0DD1F405" w14:textId="77777777" w:rsidR="005E617B" w:rsidRDefault="009C06CF">
      <w:pPr>
        <w:pStyle w:val="Balk1"/>
        <w:spacing w:line="265" w:lineRule="exact"/>
      </w:pPr>
      <w:r>
        <w:rPr>
          <w:color w:val="1B273C"/>
        </w:rPr>
        <w:t>Faaliyet Alanı</w:t>
      </w:r>
    </w:p>
    <w:p w14:paraId="4A8B1D96" w14:textId="77777777" w:rsidR="005E617B" w:rsidRDefault="009C06CF">
      <w:pPr>
        <w:pStyle w:val="GvdeMetni"/>
        <w:spacing w:before="32" w:line="268" w:lineRule="auto"/>
        <w:ind w:right="119" w:firstLine="566"/>
        <w:jc w:val="both"/>
      </w:pPr>
      <w:r>
        <w:rPr>
          <w:b/>
          <w:color w:val="1B273C"/>
        </w:rPr>
        <w:t xml:space="preserve">Madde 2- </w:t>
      </w:r>
      <w:r>
        <w:rPr>
          <w:color w:val="1B273C"/>
        </w:rPr>
        <w:t>Döner Sermaye İşletmesinin faaliyet alanına giren iş ve hizmetler aşağıda gösterilmiştir.</w:t>
      </w:r>
    </w:p>
    <w:p w14:paraId="55FADF0E" w14:textId="77777777" w:rsidR="005E617B" w:rsidRDefault="009C06CF">
      <w:pPr>
        <w:pStyle w:val="ListeParagraf"/>
        <w:numPr>
          <w:ilvl w:val="0"/>
          <w:numId w:val="1"/>
        </w:numPr>
        <w:tabs>
          <w:tab w:val="left" w:pos="934"/>
        </w:tabs>
        <w:spacing w:line="268" w:lineRule="auto"/>
        <w:ind w:right="121" w:firstLine="566"/>
        <w:jc w:val="both"/>
      </w:pPr>
      <w:r>
        <w:rPr>
          <w:color w:val="1B273C"/>
        </w:rPr>
        <w:t>Yükseköğretim kurumları dışındaki kuruluşlar ile gerçek ve tüzel kişilerce talep edilecek bilimsel görüş, proje, araştırma ve seminer, konferans, panel, sempozyumlar düzenlemek, kurslar açmak, benzeri hizmetleri</w:t>
      </w:r>
      <w:r>
        <w:rPr>
          <w:color w:val="1B273C"/>
          <w:spacing w:val="-1"/>
        </w:rPr>
        <w:t xml:space="preserve"> </w:t>
      </w:r>
      <w:r>
        <w:rPr>
          <w:color w:val="1B273C"/>
        </w:rPr>
        <w:t>yapmak,</w:t>
      </w:r>
    </w:p>
    <w:p w14:paraId="144BF494" w14:textId="77777777" w:rsidR="005E617B" w:rsidRDefault="009C06CF">
      <w:pPr>
        <w:pStyle w:val="ListeParagraf"/>
        <w:numPr>
          <w:ilvl w:val="0"/>
          <w:numId w:val="1"/>
        </w:numPr>
        <w:tabs>
          <w:tab w:val="left" w:pos="954"/>
        </w:tabs>
        <w:spacing w:line="268" w:lineRule="auto"/>
        <w:ind w:right="125" w:firstLine="566"/>
        <w:jc w:val="both"/>
      </w:pPr>
      <w:r>
        <w:rPr>
          <w:color w:val="1B273C"/>
        </w:rPr>
        <w:t>Plan, fizibilite çalışması, analiz, model denemeleri, ekspertiz, danışmanlık, kontrolörlük, mühendislik, iş değerlendirilmesi, eğitim organizasyonu ve bunlara ilişkin her türlü raporları hazırlamak,</w:t>
      </w:r>
    </w:p>
    <w:p w14:paraId="40F29919" w14:textId="77777777" w:rsidR="005E617B" w:rsidRDefault="009C06CF">
      <w:pPr>
        <w:pStyle w:val="ListeParagraf"/>
        <w:numPr>
          <w:ilvl w:val="0"/>
          <w:numId w:val="1"/>
        </w:numPr>
        <w:tabs>
          <w:tab w:val="left" w:pos="876"/>
        </w:tabs>
        <w:spacing w:line="266" w:lineRule="exact"/>
        <w:ind w:left="875" w:hanging="209"/>
      </w:pPr>
      <w:r>
        <w:rPr>
          <w:color w:val="1B273C"/>
        </w:rPr>
        <w:t>Belirli bilimsel sonuçların uygulanmasını</w:t>
      </w:r>
      <w:r>
        <w:rPr>
          <w:color w:val="1B273C"/>
          <w:spacing w:val="-3"/>
        </w:rPr>
        <w:t xml:space="preserve"> </w:t>
      </w:r>
      <w:r>
        <w:rPr>
          <w:color w:val="1B273C"/>
        </w:rPr>
        <w:t>sağlamak,</w:t>
      </w:r>
    </w:p>
    <w:p w14:paraId="35E82AED" w14:textId="77777777" w:rsidR="005E617B" w:rsidRDefault="009C06CF">
      <w:pPr>
        <w:pStyle w:val="ListeParagraf"/>
        <w:numPr>
          <w:ilvl w:val="0"/>
          <w:numId w:val="1"/>
        </w:numPr>
        <w:tabs>
          <w:tab w:val="left" w:pos="910"/>
        </w:tabs>
        <w:spacing w:before="27" w:line="268" w:lineRule="auto"/>
        <w:ind w:right="126" w:firstLine="566"/>
        <w:jc w:val="both"/>
      </w:pPr>
      <w:r>
        <w:rPr>
          <w:color w:val="1B273C"/>
        </w:rPr>
        <w:t>Mevcut fiziki kapasiteyi değerlendirerek faaliyet alanı ile sınırlı olarak iş ve hizmet üretmek, elde edilen ürünleri önceden Rektörün izni alınmak şartıyla pazarlamak ve</w:t>
      </w:r>
      <w:r>
        <w:rPr>
          <w:color w:val="1B273C"/>
          <w:spacing w:val="-16"/>
        </w:rPr>
        <w:t xml:space="preserve"> </w:t>
      </w:r>
      <w:r>
        <w:rPr>
          <w:color w:val="1B273C"/>
        </w:rPr>
        <w:t>satmak.</w:t>
      </w:r>
    </w:p>
    <w:p w14:paraId="26C38D95" w14:textId="77777777" w:rsidR="005E617B" w:rsidRDefault="009C06CF">
      <w:pPr>
        <w:pStyle w:val="Balk1"/>
        <w:spacing w:line="267" w:lineRule="exact"/>
      </w:pPr>
      <w:r>
        <w:rPr>
          <w:color w:val="1B273C"/>
        </w:rPr>
        <w:t>Yönetim Organları</w:t>
      </w:r>
    </w:p>
    <w:p w14:paraId="371B4B8C" w14:textId="77777777" w:rsidR="005E617B" w:rsidRDefault="009C06CF">
      <w:pPr>
        <w:spacing w:before="32"/>
        <w:ind w:left="666"/>
        <w:rPr>
          <w:b/>
        </w:rPr>
      </w:pPr>
      <w:r>
        <w:rPr>
          <w:b/>
          <w:color w:val="1B273C"/>
        </w:rPr>
        <w:t>Madde 3- (Değişik:RG-12/1/2015-29234)</w:t>
      </w:r>
    </w:p>
    <w:p w14:paraId="2D2DF91A" w14:textId="77777777" w:rsidR="005E617B" w:rsidRDefault="009C06CF">
      <w:pPr>
        <w:pStyle w:val="GvdeMetni"/>
        <w:spacing w:before="31" w:line="268" w:lineRule="auto"/>
        <w:ind w:right="126" w:firstLine="566"/>
        <w:jc w:val="both"/>
      </w:pPr>
      <w:r>
        <w:rPr>
          <w:color w:val="1B273C"/>
        </w:rPr>
        <w:t>İşletmenin Yönetim Kurulu Gebze Teknik Üniversitesi Yönetim Kuruludur. İta amiri Rektördür. Rektör bu yetkisini uygun gördüğü ölçüde yardımcılarına, dekanlara, yüksekokul ve araştırma ve uygulama merkezi müdürlerine devredebilir.</w:t>
      </w:r>
    </w:p>
    <w:p w14:paraId="57BA199C" w14:textId="77777777" w:rsidR="005E617B" w:rsidRDefault="009C06CF">
      <w:pPr>
        <w:pStyle w:val="GvdeMetni"/>
        <w:spacing w:line="268" w:lineRule="auto"/>
        <w:ind w:right="122" w:firstLine="566"/>
        <w:jc w:val="both"/>
      </w:pPr>
      <w:r>
        <w:rPr>
          <w:color w:val="1B273C"/>
        </w:rPr>
        <w:t>Üniversite Yönetim Kurulu, yetkilerini uygun gördüğü ölçüde, kuracakları yürütme kuruluna devredebilir. Yürütme Kurulu, Üniversite Yönetim Kurulunca seçilecek bir rektör yardımcısı, üç öğretim elemanı (dekan ve yüksekokul müdürü de olabilir) ve bir sayman olmak üzere beş kişiden oluşur.</w:t>
      </w:r>
    </w:p>
    <w:p w14:paraId="1975543C" w14:textId="77777777" w:rsidR="005E617B" w:rsidRDefault="009C06CF">
      <w:pPr>
        <w:pStyle w:val="Balk1"/>
        <w:spacing w:line="265" w:lineRule="exact"/>
      </w:pPr>
      <w:r>
        <w:rPr>
          <w:color w:val="1B273C"/>
        </w:rPr>
        <w:t>Sermaye Limiti</w:t>
      </w:r>
    </w:p>
    <w:p w14:paraId="452D3E1D" w14:textId="77777777" w:rsidR="005E617B" w:rsidRDefault="009C06CF">
      <w:pPr>
        <w:spacing w:before="29"/>
        <w:ind w:left="666"/>
        <w:rPr>
          <w:b/>
        </w:rPr>
      </w:pPr>
      <w:r>
        <w:rPr>
          <w:b/>
          <w:color w:val="1B273C"/>
        </w:rPr>
        <w:t>Madde 4- (Değişik:RG-12/1/2015-29234)</w:t>
      </w:r>
    </w:p>
    <w:p w14:paraId="73B4C0D7" w14:textId="77777777" w:rsidR="005E617B" w:rsidRDefault="009C06CF">
      <w:pPr>
        <w:pStyle w:val="GvdeMetni"/>
        <w:spacing w:before="32"/>
        <w:ind w:left="666"/>
      </w:pPr>
      <w:r>
        <w:rPr>
          <w:color w:val="1B273C"/>
        </w:rPr>
        <w:t>Gebze Teknik Üniversitesi Döner Sermaye İşletmesinin sermaye limiti 960,000,000.-liradır.</w:t>
      </w:r>
    </w:p>
    <w:p w14:paraId="7856DDEE" w14:textId="77777777" w:rsidR="005E617B" w:rsidRDefault="009C06CF">
      <w:pPr>
        <w:pStyle w:val="Balk1"/>
        <w:spacing w:before="31"/>
      </w:pPr>
      <w:r>
        <w:rPr>
          <w:color w:val="1B273C"/>
        </w:rPr>
        <w:t>Uygulanacak Hükümler</w:t>
      </w:r>
    </w:p>
    <w:p w14:paraId="378CEDF8" w14:textId="77777777" w:rsidR="005E617B" w:rsidRDefault="009C06CF">
      <w:pPr>
        <w:pStyle w:val="GvdeMetni"/>
        <w:spacing w:before="32" w:line="268" w:lineRule="auto"/>
        <w:ind w:right="109" w:firstLine="566"/>
        <w:jc w:val="both"/>
      </w:pPr>
      <w:r>
        <w:rPr>
          <w:b/>
          <w:color w:val="1B273C"/>
        </w:rPr>
        <w:t xml:space="preserve">Madde 5- </w:t>
      </w:r>
      <w:r>
        <w:rPr>
          <w:color w:val="1B273C"/>
        </w:rPr>
        <w:t>Bu Yönetmelikte hüküm bulunmayan hallerde birinci maddede adı geçen  yönetmelik hükümleri</w:t>
      </w:r>
      <w:r>
        <w:rPr>
          <w:color w:val="1B273C"/>
          <w:spacing w:val="-1"/>
        </w:rPr>
        <w:t xml:space="preserve"> </w:t>
      </w:r>
      <w:r>
        <w:rPr>
          <w:color w:val="1B273C"/>
        </w:rPr>
        <w:t>uygulanır.</w:t>
      </w:r>
    </w:p>
    <w:p w14:paraId="34921C56" w14:textId="77777777" w:rsidR="005E617B" w:rsidRDefault="009C06CF">
      <w:pPr>
        <w:pStyle w:val="Balk1"/>
        <w:spacing w:line="267" w:lineRule="exact"/>
      </w:pPr>
      <w:r>
        <w:rPr>
          <w:color w:val="1B273C"/>
        </w:rPr>
        <w:t>Yürürlükten Kaldırılan Yönetmelik</w:t>
      </w:r>
    </w:p>
    <w:p w14:paraId="6455CF87" w14:textId="77777777" w:rsidR="005E617B" w:rsidRDefault="009C06CF">
      <w:pPr>
        <w:pStyle w:val="GvdeMetni"/>
        <w:spacing w:before="31"/>
        <w:ind w:left="666"/>
      </w:pPr>
      <w:r>
        <w:rPr>
          <w:b/>
          <w:color w:val="1B273C"/>
        </w:rPr>
        <w:t xml:space="preserve">Madde 6- </w:t>
      </w:r>
      <w:r>
        <w:rPr>
          <w:color w:val="1B273C"/>
        </w:rPr>
        <w:t xml:space="preserve">11/10/1994 tarihli ve 22078 sayılı Resmi Gazete </w:t>
      </w:r>
      <w:r>
        <w:rPr>
          <w:rFonts w:ascii="Wingdings 2" w:hAnsi="Wingdings 2"/>
          <w:color w:val="1B273C"/>
        </w:rPr>
        <w:t></w:t>
      </w:r>
      <w:r>
        <w:rPr>
          <w:color w:val="1B273C"/>
        </w:rPr>
        <w:t>fde yayımlanarak yürürlüğe giren</w:t>
      </w:r>
    </w:p>
    <w:p w14:paraId="4B076867" w14:textId="77777777" w:rsidR="005E617B" w:rsidRDefault="009C06CF">
      <w:pPr>
        <w:pStyle w:val="GvdeMetni"/>
        <w:spacing w:before="31" w:line="268" w:lineRule="auto"/>
        <w:ind w:right="122"/>
        <w:jc w:val="both"/>
      </w:pPr>
      <w:r>
        <w:rPr>
          <w:rFonts w:ascii="Wingdings 2" w:hAnsi="Wingdings 2"/>
          <w:color w:val="1B273C"/>
        </w:rPr>
        <w:t></w:t>
      </w:r>
      <w:r>
        <w:rPr>
          <w:color w:val="1B273C"/>
        </w:rPr>
        <w:t xml:space="preserve">gGebze Yüksek Teknoloji Enstitüsü Bölge Kaynaklarının Araştırılması Uygulama ve Araştırılması </w:t>
      </w:r>
      <w:r>
        <w:rPr>
          <w:color w:val="1B273C"/>
        </w:rPr>
        <w:lastRenderedPageBreak/>
        <w:t>Uygulama ve Araştırma Merkezi Döner Sermaye İşletmesi Yönetmeliği</w:t>
      </w:r>
      <w:r>
        <w:rPr>
          <w:rFonts w:ascii="Wingdings 2" w:hAnsi="Wingdings 2"/>
          <w:color w:val="1B273C"/>
        </w:rPr>
        <w:t></w:t>
      </w:r>
      <w:r>
        <w:rPr>
          <w:color w:val="1B273C"/>
        </w:rPr>
        <w:t>h bu Yönetmeliğin yayımı tarihinden itibaren yürürlükten kaldırılmıştır.</w:t>
      </w:r>
    </w:p>
    <w:p w14:paraId="763D02A5" w14:textId="77777777" w:rsidR="003C70FC" w:rsidRDefault="009C06CF" w:rsidP="003C70FC">
      <w:pPr>
        <w:pStyle w:val="GvdeMetni"/>
        <w:spacing w:line="268" w:lineRule="auto"/>
        <w:ind w:right="115" w:firstLine="566"/>
        <w:jc w:val="both"/>
        <w:rPr>
          <w:color w:val="1B273C"/>
        </w:rPr>
      </w:pPr>
      <w:r>
        <w:rPr>
          <w:b/>
          <w:color w:val="1B273C"/>
        </w:rPr>
        <w:t xml:space="preserve">Geçici Madde 1- </w:t>
      </w:r>
      <w:r>
        <w:rPr>
          <w:color w:val="1B273C"/>
        </w:rPr>
        <w:t>Bu Yönetmeliğin yayımından önce mevcut Döner Sermaye İşletmelerinin mal varlığı ve personeli başkaca bir işleme gerek kalmaksızın bu Yönetmelikle kurulan Döner Sermaye İşletmesine devredilir.</w:t>
      </w:r>
    </w:p>
    <w:p w14:paraId="1D9B5BDF" w14:textId="77777777" w:rsidR="005E617B" w:rsidRDefault="009C06CF" w:rsidP="003C70FC">
      <w:pPr>
        <w:pStyle w:val="GvdeMetni"/>
        <w:spacing w:line="268" w:lineRule="auto"/>
        <w:ind w:right="115" w:firstLine="566"/>
        <w:jc w:val="both"/>
      </w:pPr>
      <w:r>
        <w:rPr>
          <w:b/>
          <w:color w:val="1B273C"/>
        </w:rPr>
        <w:t xml:space="preserve">Geçici Madde 2- </w:t>
      </w:r>
      <w:r>
        <w:rPr>
          <w:color w:val="1B273C"/>
        </w:rPr>
        <w:t>Bu Yönetmeliğin yayımından önce mevcut Döner Sermaye Yönetmeliğine göre başlanmış bulunan iş ve hizmetler sonuçlanıncaya kadar eski mevzuatın uygulamasına devam olunur.</w:t>
      </w:r>
    </w:p>
    <w:p w14:paraId="6C202B16" w14:textId="77777777" w:rsidR="005E617B" w:rsidRDefault="009C06CF">
      <w:pPr>
        <w:pStyle w:val="Balk1"/>
        <w:spacing w:line="267" w:lineRule="exact"/>
      </w:pPr>
      <w:r>
        <w:rPr>
          <w:color w:val="1B273C"/>
        </w:rPr>
        <w:t>Yürürlük</w:t>
      </w:r>
    </w:p>
    <w:p w14:paraId="2921EA39" w14:textId="77777777" w:rsidR="005E617B" w:rsidRDefault="009C06CF">
      <w:pPr>
        <w:pStyle w:val="GvdeMetni"/>
        <w:tabs>
          <w:tab w:val="left" w:pos="1525"/>
        </w:tabs>
        <w:spacing w:before="32" w:line="268" w:lineRule="auto"/>
        <w:ind w:right="121" w:firstLine="566"/>
      </w:pPr>
      <w:r>
        <w:rPr>
          <w:b/>
          <w:color w:val="1B273C"/>
        </w:rPr>
        <w:t>Madde</w:t>
      </w:r>
      <w:r>
        <w:rPr>
          <w:b/>
          <w:color w:val="1B273C"/>
        </w:rPr>
        <w:tab/>
        <w:t xml:space="preserve">7- </w:t>
      </w:r>
      <w:r>
        <w:rPr>
          <w:color w:val="1B273C"/>
        </w:rPr>
        <w:t>Maliye Bakanlığı ile Sayıştay görüşü alınarak hazırlanan bu Yönetmelik yayımı tarihinde yürürlüğe</w:t>
      </w:r>
      <w:r>
        <w:rPr>
          <w:color w:val="1B273C"/>
          <w:spacing w:val="-1"/>
        </w:rPr>
        <w:t xml:space="preserve"> </w:t>
      </w:r>
      <w:r>
        <w:rPr>
          <w:color w:val="1B273C"/>
        </w:rPr>
        <w:t>girer.</w:t>
      </w:r>
    </w:p>
    <w:p w14:paraId="152350AC" w14:textId="77777777" w:rsidR="005E617B" w:rsidRDefault="009C06CF">
      <w:pPr>
        <w:pStyle w:val="Balk1"/>
        <w:spacing w:line="267" w:lineRule="exact"/>
      </w:pPr>
      <w:r>
        <w:rPr>
          <w:color w:val="1B273C"/>
        </w:rPr>
        <w:t>Yürütme</w:t>
      </w:r>
    </w:p>
    <w:p w14:paraId="06DA804C" w14:textId="77777777" w:rsidR="005E617B" w:rsidRDefault="009C06CF">
      <w:pPr>
        <w:tabs>
          <w:tab w:val="left" w:pos="1513"/>
        </w:tabs>
        <w:spacing w:before="31"/>
        <w:ind w:left="666"/>
        <w:rPr>
          <w:b/>
        </w:rPr>
      </w:pPr>
      <w:r>
        <w:rPr>
          <w:b/>
          <w:color w:val="1B273C"/>
        </w:rPr>
        <w:t>Madde</w:t>
      </w:r>
      <w:r>
        <w:rPr>
          <w:b/>
          <w:color w:val="1B273C"/>
        </w:rPr>
        <w:tab/>
        <w:t>8-</w:t>
      </w:r>
      <w:r>
        <w:rPr>
          <w:b/>
          <w:color w:val="1B273C"/>
          <w:spacing w:val="-3"/>
        </w:rPr>
        <w:t xml:space="preserve"> </w:t>
      </w:r>
      <w:r>
        <w:rPr>
          <w:b/>
          <w:color w:val="1B273C"/>
        </w:rPr>
        <w:t>(Değişik:RG-12/1/2015-29234)</w:t>
      </w:r>
    </w:p>
    <w:p w14:paraId="0778A4BA" w14:textId="77777777" w:rsidR="005E617B" w:rsidRDefault="009C06CF">
      <w:pPr>
        <w:pStyle w:val="GvdeMetni"/>
        <w:spacing w:before="32"/>
        <w:ind w:left="666"/>
      </w:pPr>
      <w:r>
        <w:rPr>
          <w:color w:val="1B273C"/>
        </w:rPr>
        <w:t>Bu Yönetmelik hükümlerini Gebze Teknik Üniversitesi Rektörü yürütür.</w:t>
      </w:r>
    </w:p>
    <w:p w14:paraId="3A542121" w14:textId="77777777" w:rsidR="005E617B" w:rsidRDefault="005E617B">
      <w:pPr>
        <w:pStyle w:val="GvdeMetni"/>
        <w:ind w:left="0"/>
        <w:rPr>
          <w:sz w:val="20"/>
        </w:rPr>
      </w:pPr>
    </w:p>
    <w:p w14:paraId="4887B33F" w14:textId="77777777" w:rsidR="005E617B" w:rsidRDefault="00F45559">
      <w:pPr>
        <w:pStyle w:val="GvdeMetni"/>
        <w:ind w:left="0"/>
        <w:rPr>
          <w:sz w:val="23"/>
        </w:rPr>
      </w:pPr>
      <w:r>
        <w:pict w14:anchorId="3BFBA4C6">
          <v:line id="_x0000_s1026" style="position:absolute;z-index:251657728;mso-wrap-distance-left:0;mso-wrap-distance-right:0;mso-position-horizontal-relative:page" from="99.3pt,16.45pt" to="159.5pt,16.45pt" strokecolor="#1a263b" strokeweight=".252mm">
            <w10:wrap type="topAndBottom" anchorx="page"/>
          </v:line>
        </w:pict>
      </w:r>
    </w:p>
    <w:p w14:paraId="18F463F0" w14:textId="77777777" w:rsidR="005E617B" w:rsidRDefault="009C06CF">
      <w:pPr>
        <w:spacing w:before="17"/>
        <w:ind w:left="666"/>
      </w:pPr>
      <w:r>
        <w:rPr>
          <w:color w:val="1B273C"/>
          <w:position w:val="9"/>
          <w:sz w:val="13"/>
        </w:rPr>
        <w:t xml:space="preserve">(1)  </w:t>
      </w:r>
      <w:r>
        <w:rPr>
          <w:i/>
          <w:color w:val="1B273C"/>
        </w:rPr>
        <w:t xml:space="preserve">Bu   yönetmeliğin   adı   </w:t>
      </w:r>
      <w:r>
        <w:rPr>
          <w:rFonts w:ascii="Wingdings 2" w:hAnsi="Wingdings 2"/>
          <w:color w:val="1B273C"/>
        </w:rPr>
        <w:t></w:t>
      </w:r>
      <w:r>
        <w:rPr>
          <w:i/>
          <w:color w:val="1B273C"/>
        </w:rPr>
        <w:t>g</w:t>
      </w:r>
      <w:r>
        <w:rPr>
          <w:color w:val="1B273C"/>
        </w:rPr>
        <w:t>Gebze   Yüksek   Teknoloji   Enstitüsü   Döner   Sermaye  İşletmesi</w:t>
      </w:r>
    </w:p>
    <w:p w14:paraId="72AA9ED0" w14:textId="77777777" w:rsidR="005E617B" w:rsidRDefault="009C06CF">
      <w:pPr>
        <w:spacing w:before="31"/>
        <w:ind w:left="100"/>
      </w:pPr>
      <w:r>
        <w:rPr>
          <w:color w:val="1B273C"/>
        </w:rPr>
        <w:t>Yönetmeliği</w:t>
      </w:r>
      <w:r>
        <w:rPr>
          <w:rFonts w:ascii="Wingdings 2" w:hAnsi="Wingdings 2"/>
          <w:color w:val="1B273C"/>
        </w:rPr>
        <w:t></w:t>
      </w:r>
      <w:r>
        <w:rPr>
          <w:i/>
          <w:color w:val="1B273C"/>
        </w:rPr>
        <w:t>h  iken  12/1/2015  tarihli  ve  29234  sayılı  Resmi  Gazete</w:t>
      </w:r>
      <w:r>
        <w:rPr>
          <w:rFonts w:ascii="Wingdings 2" w:hAnsi="Wingdings 2"/>
          <w:color w:val="1B273C"/>
        </w:rPr>
        <w:t></w:t>
      </w:r>
      <w:r>
        <w:rPr>
          <w:i/>
          <w:color w:val="1B273C"/>
        </w:rPr>
        <w:t xml:space="preserve">fde  yayımlanan  </w:t>
      </w:r>
      <w:r>
        <w:rPr>
          <w:rFonts w:ascii="Wingdings 2" w:hAnsi="Wingdings 2"/>
          <w:color w:val="1B273C"/>
        </w:rPr>
        <w:t></w:t>
      </w:r>
      <w:r>
        <w:rPr>
          <w:i/>
          <w:color w:val="1B273C"/>
        </w:rPr>
        <w:t>g</w:t>
      </w:r>
      <w:r>
        <w:rPr>
          <w:color w:val="1B273C"/>
        </w:rPr>
        <w:t>Gebze</w:t>
      </w:r>
    </w:p>
    <w:p w14:paraId="169B8D59" w14:textId="77777777" w:rsidR="005E617B" w:rsidRDefault="009C06CF">
      <w:pPr>
        <w:spacing w:before="32" w:line="268" w:lineRule="auto"/>
        <w:ind w:left="100"/>
        <w:rPr>
          <w:i/>
        </w:rPr>
      </w:pPr>
      <w:r>
        <w:rPr>
          <w:color w:val="1B273C"/>
        </w:rPr>
        <w:t>Yüksek Teknoloji Enstitüsü Döner Sermaye İşletmesi Yönetmeliğinde Değişiklik Yapılmasına Dair Yönetmelik</w:t>
      </w:r>
      <w:r>
        <w:rPr>
          <w:rFonts w:ascii="Wingdings 2" w:hAnsi="Wingdings 2"/>
          <w:color w:val="1B273C"/>
        </w:rPr>
        <w:t></w:t>
      </w:r>
      <w:r>
        <w:rPr>
          <w:i/>
          <w:color w:val="1B273C"/>
        </w:rPr>
        <w:t>h ile metne işlendiği biçimde değiştirilmiştir.</w:t>
      </w:r>
    </w:p>
    <w:p w14:paraId="688A4581" w14:textId="77777777" w:rsidR="005E617B" w:rsidRDefault="005E617B">
      <w:pPr>
        <w:pStyle w:val="GvdeMetni"/>
        <w:spacing w:before="11"/>
        <w:ind w:left="0"/>
        <w:rPr>
          <w:i/>
          <w:sz w:val="21"/>
        </w:rPr>
      </w:pPr>
    </w:p>
    <w:tbl>
      <w:tblPr>
        <w:tblStyle w:val="TableNormal"/>
        <w:tblW w:w="0" w:type="auto"/>
        <w:tblInd w:w="58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886"/>
        <w:gridCol w:w="3600"/>
        <w:gridCol w:w="3620"/>
      </w:tblGrid>
      <w:tr w:rsidR="005E617B" w14:paraId="206A88F2" w14:textId="77777777">
        <w:trPr>
          <w:trHeight w:val="265"/>
        </w:trPr>
        <w:tc>
          <w:tcPr>
            <w:tcW w:w="886" w:type="dxa"/>
            <w:vMerge w:val="restart"/>
          </w:tcPr>
          <w:p w14:paraId="1B994C38" w14:textId="77777777" w:rsidR="005E617B" w:rsidRDefault="005E617B">
            <w:pPr>
              <w:pStyle w:val="TableParagraph"/>
              <w:spacing w:line="240" w:lineRule="auto"/>
              <w:ind w:left="0"/>
              <w:jc w:val="left"/>
            </w:pPr>
          </w:p>
        </w:tc>
        <w:tc>
          <w:tcPr>
            <w:tcW w:w="7220" w:type="dxa"/>
            <w:gridSpan w:val="2"/>
          </w:tcPr>
          <w:p w14:paraId="630DB877" w14:textId="77777777" w:rsidR="005E617B" w:rsidRDefault="009C06CF">
            <w:pPr>
              <w:pStyle w:val="TableParagraph"/>
              <w:ind w:left="1258"/>
              <w:jc w:val="left"/>
              <w:rPr>
                <w:b/>
                <w:sz w:val="24"/>
              </w:rPr>
            </w:pPr>
            <w:r>
              <w:rPr>
                <w:b/>
                <w:sz w:val="24"/>
              </w:rPr>
              <w:t>Yönetmeliğin Yayımlandığı Resmî Gazete’nin</w:t>
            </w:r>
          </w:p>
        </w:tc>
      </w:tr>
      <w:tr w:rsidR="005E617B" w14:paraId="3499DA9E" w14:textId="77777777">
        <w:trPr>
          <w:trHeight w:val="265"/>
        </w:trPr>
        <w:tc>
          <w:tcPr>
            <w:tcW w:w="886" w:type="dxa"/>
            <w:vMerge/>
            <w:tcBorders>
              <w:top w:val="nil"/>
            </w:tcBorders>
          </w:tcPr>
          <w:p w14:paraId="32146BFB" w14:textId="77777777" w:rsidR="005E617B" w:rsidRDefault="005E617B">
            <w:pPr>
              <w:rPr>
                <w:sz w:val="2"/>
                <w:szCs w:val="2"/>
              </w:rPr>
            </w:pPr>
          </w:p>
        </w:tc>
        <w:tc>
          <w:tcPr>
            <w:tcW w:w="3600" w:type="dxa"/>
          </w:tcPr>
          <w:p w14:paraId="547F3B46" w14:textId="77777777" w:rsidR="005E617B" w:rsidRDefault="009C06CF">
            <w:pPr>
              <w:pStyle w:val="TableParagraph"/>
              <w:ind w:right="1206"/>
              <w:rPr>
                <w:b/>
                <w:sz w:val="24"/>
              </w:rPr>
            </w:pPr>
            <w:r>
              <w:rPr>
                <w:b/>
                <w:sz w:val="24"/>
              </w:rPr>
              <w:t>Tarihi</w:t>
            </w:r>
          </w:p>
        </w:tc>
        <w:tc>
          <w:tcPr>
            <w:tcW w:w="3620" w:type="dxa"/>
          </w:tcPr>
          <w:p w14:paraId="3011C406" w14:textId="77777777" w:rsidR="005E617B" w:rsidRDefault="009C06CF">
            <w:pPr>
              <w:pStyle w:val="TableParagraph"/>
              <w:ind w:left="1488" w:right="1461"/>
              <w:rPr>
                <w:b/>
                <w:sz w:val="24"/>
              </w:rPr>
            </w:pPr>
            <w:r>
              <w:rPr>
                <w:b/>
                <w:sz w:val="24"/>
              </w:rPr>
              <w:t>Sayısı</w:t>
            </w:r>
          </w:p>
        </w:tc>
      </w:tr>
      <w:tr w:rsidR="005E617B" w14:paraId="375557C4" w14:textId="77777777">
        <w:trPr>
          <w:trHeight w:val="266"/>
        </w:trPr>
        <w:tc>
          <w:tcPr>
            <w:tcW w:w="886" w:type="dxa"/>
            <w:vMerge/>
            <w:tcBorders>
              <w:top w:val="nil"/>
            </w:tcBorders>
          </w:tcPr>
          <w:p w14:paraId="0D64C155" w14:textId="77777777" w:rsidR="005E617B" w:rsidRDefault="005E617B">
            <w:pPr>
              <w:rPr>
                <w:sz w:val="2"/>
                <w:szCs w:val="2"/>
              </w:rPr>
            </w:pPr>
          </w:p>
        </w:tc>
        <w:tc>
          <w:tcPr>
            <w:tcW w:w="3600" w:type="dxa"/>
          </w:tcPr>
          <w:p w14:paraId="6D599CDD" w14:textId="77777777" w:rsidR="005E617B" w:rsidRDefault="009C06CF">
            <w:pPr>
              <w:pStyle w:val="TableParagraph"/>
              <w:ind w:right="1206"/>
              <w:rPr>
                <w:sz w:val="24"/>
              </w:rPr>
            </w:pPr>
            <w:r>
              <w:rPr>
                <w:sz w:val="24"/>
              </w:rPr>
              <w:t>25/04/2001</w:t>
            </w:r>
          </w:p>
        </w:tc>
        <w:tc>
          <w:tcPr>
            <w:tcW w:w="3620" w:type="dxa"/>
          </w:tcPr>
          <w:p w14:paraId="21E3B2F6" w14:textId="77777777" w:rsidR="005E617B" w:rsidRDefault="009C06CF">
            <w:pPr>
              <w:pStyle w:val="TableParagraph"/>
              <w:ind w:left="1488" w:right="1460"/>
              <w:rPr>
                <w:sz w:val="24"/>
              </w:rPr>
            </w:pPr>
            <w:r>
              <w:rPr>
                <w:sz w:val="24"/>
              </w:rPr>
              <w:t>24383</w:t>
            </w:r>
          </w:p>
        </w:tc>
      </w:tr>
      <w:tr w:rsidR="005E617B" w14:paraId="1D1AFD7A" w14:textId="77777777">
        <w:trPr>
          <w:trHeight w:val="541"/>
        </w:trPr>
        <w:tc>
          <w:tcPr>
            <w:tcW w:w="886" w:type="dxa"/>
            <w:vMerge/>
            <w:tcBorders>
              <w:top w:val="nil"/>
            </w:tcBorders>
          </w:tcPr>
          <w:p w14:paraId="6014D038" w14:textId="77777777" w:rsidR="005E617B" w:rsidRDefault="005E617B">
            <w:pPr>
              <w:rPr>
                <w:sz w:val="2"/>
                <w:szCs w:val="2"/>
              </w:rPr>
            </w:pPr>
          </w:p>
        </w:tc>
        <w:tc>
          <w:tcPr>
            <w:tcW w:w="7220" w:type="dxa"/>
            <w:gridSpan w:val="2"/>
          </w:tcPr>
          <w:p w14:paraId="1984E244" w14:textId="77777777" w:rsidR="005E617B" w:rsidRDefault="009C06CF">
            <w:pPr>
              <w:pStyle w:val="TableParagraph"/>
              <w:spacing w:line="270" w:lineRule="exact"/>
              <w:ind w:left="399" w:right="377"/>
              <w:rPr>
                <w:b/>
                <w:sz w:val="24"/>
              </w:rPr>
            </w:pPr>
            <w:r>
              <w:rPr>
                <w:b/>
                <w:sz w:val="24"/>
              </w:rPr>
              <w:t>Yönetmelikte Değişiklik Yapan Yönetmeliklerin Yayımlandığı</w:t>
            </w:r>
          </w:p>
          <w:p w14:paraId="19E91017" w14:textId="77777777" w:rsidR="005E617B" w:rsidRDefault="009C06CF">
            <w:pPr>
              <w:pStyle w:val="TableParagraph"/>
              <w:spacing w:line="252" w:lineRule="exact"/>
              <w:ind w:left="399" w:right="376"/>
              <w:rPr>
                <w:b/>
                <w:sz w:val="24"/>
              </w:rPr>
            </w:pPr>
            <w:r>
              <w:rPr>
                <w:b/>
                <w:sz w:val="24"/>
              </w:rPr>
              <w:t>Resmî Gazetelerin</w:t>
            </w:r>
          </w:p>
        </w:tc>
      </w:tr>
      <w:tr w:rsidR="005E617B" w14:paraId="7D75843A" w14:textId="77777777">
        <w:trPr>
          <w:trHeight w:val="266"/>
        </w:trPr>
        <w:tc>
          <w:tcPr>
            <w:tcW w:w="886" w:type="dxa"/>
            <w:vMerge/>
            <w:tcBorders>
              <w:top w:val="nil"/>
            </w:tcBorders>
          </w:tcPr>
          <w:p w14:paraId="2F7AF0DC" w14:textId="77777777" w:rsidR="005E617B" w:rsidRDefault="005E617B">
            <w:pPr>
              <w:rPr>
                <w:sz w:val="2"/>
                <w:szCs w:val="2"/>
              </w:rPr>
            </w:pPr>
          </w:p>
        </w:tc>
        <w:tc>
          <w:tcPr>
            <w:tcW w:w="3600" w:type="dxa"/>
          </w:tcPr>
          <w:p w14:paraId="1A7702F6" w14:textId="77777777" w:rsidR="005E617B" w:rsidRDefault="009C06CF">
            <w:pPr>
              <w:pStyle w:val="TableParagraph"/>
              <w:ind w:right="1206"/>
              <w:rPr>
                <w:b/>
                <w:sz w:val="24"/>
              </w:rPr>
            </w:pPr>
            <w:r>
              <w:rPr>
                <w:b/>
                <w:sz w:val="24"/>
              </w:rPr>
              <w:t>Tarihi</w:t>
            </w:r>
          </w:p>
        </w:tc>
        <w:tc>
          <w:tcPr>
            <w:tcW w:w="3620" w:type="dxa"/>
          </w:tcPr>
          <w:p w14:paraId="62B96571" w14:textId="77777777" w:rsidR="005E617B" w:rsidRDefault="009C06CF">
            <w:pPr>
              <w:pStyle w:val="TableParagraph"/>
              <w:ind w:left="1488" w:right="1461"/>
              <w:rPr>
                <w:b/>
                <w:sz w:val="24"/>
              </w:rPr>
            </w:pPr>
            <w:r>
              <w:rPr>
                <w:b/>
                <w:sz w:val="24"/>
              </w:rPr>
              <w:t>Sayısı</w:t>
            </w:r>
          </w:p>
        </w:tc>
      </w:tr>
      <w:tr w:rsidR="005E617B" w14:paraId="727BA6C2" w14:textId="77777777">
        <w:trPr>
          <w:trHeight w:val="266"/>
        </w:trPr>
        <w:tc>
          <w:tcPr>
            <w:tcW w:w="886" w:type="dxa"/>
          </w:tcPr>
          <w:p w14:paraId="205E9FA8" w14:textId="77777777" w:rsidR="005E617B" w:rsidRDefault="009C06CF">
            <w:pPr>
              <w:pStyle w:val="TableParagraph"/>
              <w:ind w:left="105"/>
              <w:jc w:val="left"/>
              <w:rPr>
                <w:sz w:val="24"/>
              </w:rPr>
            </w:pPr>
            <w:r>
              <w:rPr>
                <w:sz w:val="24"/>
              </w:rPr>
              <w:t>1.</w:t>
            </w:r>
          </w:p>
        </w:tc>
        <w:tc>
          <w:tcPr>
            <w:tcW w:w="3600" w:type="dxa"/>
          </w:tcPr>
          <w:p w14:paraId="691FA9CC" w14:textId="77777777" w:rsidR="005E617B" w:rsidRDefault="009C06CF">
            <w:pPr>
              <w:pStyle w:val="TableParagraph"/>
              <w:ind w:right="1202"/>
              <w:rPr>
                <w:sz w:val="24"/>
              </w:rPr>
            </w:pPr>
            <w:r>
              <w:rPr>
                <w:sz w:val="24"/>
              </w:rPr>
              <w:t>12.01.2015</w:t>
            </w:r>
          </w:p>
        </w:tc>
        <w:tc>
          <w:tcPr>
            <w:tcW w:w="3620" w:type="dxa"/>
          </w:tcPr>
          <w:p w14:paraId="7EC1F908" w14:textId="77777777" w:rsidR="005E617B" w:rsidRDefault="009C06CF">
            <w:pPr>
              <w:pStyle w:val="TableParagraph"/>
              <w:ind w:left="1488" w:right="1460"/>
              <w:rPr>
                <w:sz w:val="24"/>
              </w:rPr>
            </w:pPr>
            <w:r>
              <w:rPr>
                <w:sz w:val="24"/>
              </w:rPr>
              <w:t>29234</w:t>
            </w:r>
          </w:p>
        </w:tc>
      </w:tr>
    </w:tbl>
    <w:p w14:paraId="0CB94E40" w14:textId="77777777" w:rsidR="009C06CF" w:rsidRDefault="009C06CF"/>
    <w:sectPr w:rsidR="009C06CF">
      <w:headerReference w:type="default" r:id="rId8"/>
      <w:footerReference w:type="default" r:id="rId9"/>
      <w:pgSz w:w="11900" w:h="16840"/>
      <w:pgMar w:top="1420" w:right="1300" w:bottom="280" w:left="1320"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4B6343" w14:textId="77777777" w:rsidR="00F45559" w:rsidRDefault="00F45559" w:rsidP="00D10DA6">
      <w:r>
        <w:separator/>
      </w:r>
    </w:p>
  </w:endnote>
  <w:endnote w:type="continuationSeparator" w:id="0">
    <w:p w14:paraId="655A14C3" w14:textId="77777777" w:rsidR="00F45559" w:rsidRDefault="00F45559" w:rsidP="00D10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6DC4B6" w14:textId="77777777" w:rsidR="005E60ED" w:rsidRDefault="005E60ED" w:rsidP="005E60ED">
    <w:pPr>
      <w:pStyle w:val="AltBilgi"/>
    </w:pPr>
    <w:r>
      <w:rPr>
        <w:rFonts w:ascii="Tahoma" w:eastAsia="Times New Roman" w:hAnsi="Tahoma" w:cs="Tahoma"/>
        <w:color w:val="000000"/>
        <w:sz w:val="16"/>
        <w:szCs w:val="16"/>
      </w:rPr>
      <w:t xml:space="preserve">Form No: </w:t>
    </w:r>
    <w:r w:rsidRPr="005543A2">
      <w:rPr>
        <w:rFonts w:ascii="Tahoma" w:eastAsia="Times New Roman" w:hAnsi="Tahoma" w:cs="Tahoma"/>
        <w:color w:val="000000"/>
        <w:sz w:val="16"/>
        <w:szCs w:val="16"/>
      </w:rPr>
      <w:t>FR-0</w:t>
    </w:r>
    <w:r>
      <w:rPr>
        <w:rFonts w:ascii="Tahoma" w:eastAsia="Times New Roman" w:hAnsi="Tahoma" w:cs="Tahoma"/>
        <w:color w:val="000000"/>
        <w:sz w:val="16"/>
        <w:szCs w:val="16"/>
      </w:rPr>
      <w:t xml:space="preserve">375 </w:t>
    </w:r>
    <w:r w:rsidRPr="005543A2">
      <w:rPr>
        <w:rFonts w:ascii="Tahoma" w:eastAsia="Times New Roman" w:hAnsi="Tahoma" w:cs="Tahoma"/>
        <w:color w:val="000000"/>
        <w:sz w:val="16"/>
        <w:szCs w:val="16"/>
      </w:rPr>
      <w:t>Yayın Tarihi:</w:t>
    </w:r>
    <w:r>
      <w:rPr>
        <w:rFonts w:ascii="Tahoma" w:eastAsia="Times New Roman" w:hAnsi="Tahoma" w:cs="Tahoma"/>
        <w:color w:val="000000"/>
        <w:sz w:val="16"/>
        <w:szCs w:val="16"/>
      </w:rPr>
      <w:t xml:space="preserve"> 29.11</w:t>
    </w:r>
    <w:r w:rsidRPr="005543A2">
      <w:rPr>
        <w:rFonts w:ascii="Tahoma" w:eastAsia="Times New Roman" w:hAnsi="Tahoma" w:cs="Tahoma"/>
        <w:color w:val="000000"/>
        <w:sz w:val="16"/>
        <w:szCs w:val="16"/>
      </w:rPr>
      <w:t>.2017 Değ.No:0 Değ.Tarihi:-</w:t>
    </w:r>
  </w:p>
  <w:p w14:paraId="5BA7D166" w14:textId="77777777" w:rsidR="005541E8" w:rsidRDefault="005541E8">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68C2CC" w14:textId="77777777" w:rsidR="00F45559" w:rsidRDefault="00F45559" w:rsidP="00D10DA6">
      <w:r>
        <w:separator/>
      </w:r>
    </w:p>
  </w:footnote>
  <w:footnote w:type="continuationSeparator" w:id="0">
    <w:p w14:paraId="17544681" w14:textId="77777777" w:rsidR="00F45559" w:rsidRDefault="00F45559" w:rsidP="00D10DA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ACBFE6" w14:textId="77777777" w:rsidR="00D10DA6" w:rsidRDefault="00D10DA6">
    <w:pPr>
      <w:pStyle w:val="stBilgi"/>
    </w:pP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1"/>
      <w:gridCol w:w="4862"/>
      <w:gridCol w:w="1495"/>
      <w:gridCol w:w="1361"/>
    </w:tblGrid>
    <w:tr w:rsidR="00D10DA6" w:rsidRPr="002310A9" w14:paraId="7DDA98E0" w14:textId="77777777" w:rsidTr="004F0AA7">
      <w:trPr>
        <w:trHeight w:val="276"/>
      </w:trPr>
      <w:tc>
        <w:tcPr>
          <w:tcW w:w="1526" w:type="dxa"/>
          <w:vMerge w:val="restart"/>
          <w:shd w:val="clear" w:color="auto" w:fill="auto"/>
          <w:vAlign w:val="center"/>
        </w:tcPr>
        <w:p w14:paraId="334AA51C" w14:textId="77777777" w:rsidR="00D10DA6" w:rsidRPr="002310A9" w:rsidRDefault="00D10DA6" w:rsidP="004F0AA7">
          <w:pPr>
            <w:pStyle w:val="stBilgi"/>
          </w:pPr>
          <w:r>
            <w:rPr>
              <w:noProof/>
              <w:lang w:bidi="ar-SA"/>
            </w:rPr>
            <w:drawing>
              <wp:inline distT="0" distB="0" distL="0" distR="0" wp14:anchorId="31DA3573" wp14:editId="1B4149E2">
                <wp:extent cx="1057275" cy="7874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275" cy="787400"/>
                        </a:xfrm>
                        <a:prstGeom prst="rect">
                          <a:avLst/>
                        </a:prstGeom>
                        <a:noFill/>
                        <a:ln>
                          <a:noFill/>
                        </a:ln>
                      </pic:spPr>
                    </pic:pic>
                  </a:graphicData>
                </a:graphic>
              </wp:inline>
            </w:drawing>
          </w:r>
        </w:p>
      </w:tc>
      <w:tc>
        <w:tcPr>
          <w:tcW w:w="5386" w:type="dxa"/>
          <w:vMerge w:val="restart"/>
          <w:shd w:val="clear" w:color="auto" w:fill="auto"/>
          <w:vAlign w:val="center"/>
        </w:tcPr>
        <w:p w14:paraId="51ACF2BF" w14:textId="77777777" w:rsidR="00D10DA6" w:rsidRPr="00D10DA6" w:rsidRDefault="00D10DA6" w:rsidP="004F0AA7">
          <w:pPr>
            <w:pStyle w:val="stBilgi"/>
            <w:jc w:val="center"/>
            <w:rPr>
              <w:b/>
              <w:bCs/>
            </w:rPr>
          </w:pPr>
          <w:r w:rsidRPr="00D10DA6">
            <w:rPr>
              <w:b/>
              <w:color w:val="1B273C"/>
            </w:rPr>
            <w:t>GEBZE TEKNİK ÜNİVERSİTESİ DÖNER SERMAYE İŞLETMESİ YÖNETMELİĞİ</w:t>
          </w:r>
        </w:p>
      </w:tc>
      <w:tc>
        <w:tcPr>
          <w:tcW w:w="1560" w:type="dxa"/>
          <w:shd w:val="clear" w:color="auto" w:fill="auto"/>
          <w:vAlign w:val="center"/>
        </w:tcPr>
        <w:p w14:paraId="72E95F7A" w14:textId="77777777" w:rsidR="00D10DA6" w:rsidRPr="002310A9" w:rsidRDefault="00D10DA6" w:rsidP="004F0AA7">
          <w:pPr>
            <w:pStyle w:val="stBilgi"/>
          </w:pPr>
          <w:r w:rsidRPr="002310A9">
            <w:t>Doküman No</w:t>
          </w:r>
        </w:p>
      </w:tc>
      <w:tc>
        <w:tcPr>
          <w:tcW w:w="1382" w:type="dxa"/>
          <w:shd w:val="clear" w:color="auto" w:fill="auto"/>
          <w:vAlign w:val="center"/>
        </w:tcPr>
        <w:p w14:paraId="7E00C034" w14:textId="3D4CE374" w:rsidR="00D10DA6" w:rsidRPr="002310A9" w:rsidRDefault="005541E8" w:rsidP="004F0AA7">
          <w:pPr>
            <w:pStyle w:val="stBilgi"/>
            <w:rPr>
              <w:b/>
            </w:rPr>
          </w:pPr>
          <w:r>
            <w:rPr>
              <w:b/>
            </w:rPr>
            <w:t>YN-0</w:t>
          </w:r>
          <w:r w:rsidR="004F1343">
            <w:rPr>
              <w:b/>
            </w:rPr>
            <w:t>0</w:t>
          </w:r>
          <w:r>
            <w:rPr>
              <w:b/>
            </w:rPr>
            <w:t>08</w:t>
          </w:r>
        </w:p>
      </w:tc>
    </w:tr>
    <w:tr w:rsidR="00D10DA6" w:rsidRPr="002310A9" w14:paraId="1491A416" w14:textId="77777777" w:rsidTr="004F0AA7">
      <w:trPr>
        <w:trHeight w:val="276"/>
      </w:trPr>
      <w:tc>
        <w:tcPr>
          <w:tcW w:w="1526" w:type="dxa"/>
          <w:vMerge/>
          <w:shd w:val="clear" w:color="auto" w:fill="auto"/>
          <w:vAlign w:val="center"/>
        </w:tcPr>
        <w:p w14:paraId="4627D1AB" w14:textId="77777777" w:rsidR="00D10DA6" w:rsidRPr="002310A9" w:rsidRDefault="00D10DA6" w:rsidP="004F0AA7">
          <w:pPr>
            <w:pStyle w:val="stBilgi"/>
          </w:pPr>
        </w:p>
      </w:tc>
      <w:tc>
        <w:tcPr>
          <w:tcW w:w="5386" w:type="dxa"/>
          <w:vMerge/>
          <w:shd w:val="clear" w:color="auto" w:fill="auto"/>
          <w:vAlign w:val="center"/>
        </w:tcPr>
        <w:p w14:paraId="00A3768D" w14:textId="77777777" w:rsidR="00D10DA6" w:rsidRPr="002310A9" w:rsidRDefault="00D10DA6" w:rsidP="004F0AA7">
          <w:pPr>
            <w:pStyle w:val="stBilgi"/>
          </w:pPr>
        </w:p>
      </w:tc>
      <w:tc>
        <w:tcPr>
          <w:tcW w:w="1560" w:type="dxa"/>
          <w:shd w:val="clear" w:color="auto" w:fill="auto"/>
          <w:vAlign w:val="center"/>
        </w:tcPr>
        <w:p w14:paraId="1A07A224" w14:textId="77777777" w:rsidR="00D10DA6" w:rsidRPr="002310A9" w:rsidRDefault="00D10DA6" w:rsidP="004F0AA7">
          <w:pPr>
            <w:pStyle w:val="stBilgi"/>
          </w:pPr>
          <w:r w:rsidRPr="002310A9">
            <w:t>Yayın Tarihi</w:t>
          </w:r>
        </w:p>
      </w:tc>
      <w:tc>
        <w:tcPr>
          <w:tcW w:w="1382" w:type="dxa"/>
          <w:shd w:val="clear" w:color="auto" w:fill="auto"/>
          <w:vAlign w:val="center"/>
        </w:tcPr>
        <w:p w14:paraId="31E40B48" w14:textId="77777777" w:rsidR="00D10DA6" w:rsidRPr="002310A9" w:rsidRDefault="005541E8" w:rsidP="004F0AA7">
          <w:pPr>
            <w:pStyle w:val="stBilgi"/>
            <w:rPr>
              <w:b/>
            </w:rPr>
          </w:pPr>
          <w:r>
            <w:rPr>
              <w:b/>
            </w:rPr>
            <w:t>25.12.2017</w:t>
          </w:r>
        </w:p>
      </w:tc>
    </w:tr>
    <w:tr w:rsidR="00D10DA6" w:rsidRPr="002310A9" w14:paraId="7E015927" w14:textId="77777777" w:rsidTr="004F0AA7">
      <w:trPr>
        <w:trHeight w:val="276"/>
      </w:trPr>
      <w:tc>
        <w:tcPr>
          <w:tcW w:w="1526" w:type="dxa"/>
          <w:vMerge/>
          <w:shd w:val="clear" w:color="auto" w:fill="auto"/>
          <w:vAlign w:val="center"/>
        </w:tcPr>
        <w:p w14:paraId="3250906F" w14:textId="77777777" w:rsidR="00D10DA6" w:rsidRPr="002310A9" w:rsidRDefault="00D10DA6" w:rsidP="004F0AA7">
          <w:pPr>
            <w:pStyle w:val="stBilgi"/>
          </w:pPr>
        </w:p>
      </w:tc>
      <w:tc>
        <w:tcPr>
          <w:tcW w:w="5386" w:type="dxa"/>
          <w:vMerge/>
          <w:shd w:val="clear" w:color="auto" w:fill="auto"/>
          <w:vAlign w:val="center"/>
        </w:tcPr>
        <w:p w14:paraId="57C1C981" w14:textId="77777777" w:rsidR="00D10DA6" w:rsidRPr="002310A9" w:rsidRDefault="00D10DA6" w:rsidP="004F0AA7">
          <w:pPr>
            <w:pStyle w:val="stBilgi"/>
          </w:pPr>
        </w:p>
      </w:tc>
      <w:tc>
        <w:tcPr>
          <w:tcW w:w="1560" w:type="dxa"/>
          <w:shd w:val="clear" w:color="auto" w:fill="auto"/>
          <w:vAlign w:val="center"/>
        </w:tcPr>
        <w:p w14:paraId="405C2D85" w14:textId="77777777" w:rsidR="00D10DA6" w:rsidRPr="002310A9" w:rsidRDefault="00D10DA6" w:rsidP="004F0AA7">
          <w:pPr>
            <w:pStyle w:val="stBilgi"/>
          </w:pPr>
          <w:r w:rsidRPr="002310A9">
            <w:t>Revizyon Tarihi</w:t>
          </w:r>
        </w:p>
      </w:tc>
      <w:tc>
        <w:tcPr>
          <w:tcW w:w="1382" w:type="dxa"/>
          <w:shd w:val="clear" w:color="auto" w:fill="auto"/>
          <w:vAlign w:val="center"/>
        </w:tcPr>
        <w:p w14:paraId="2B4B2CC5" w14:textId="77777777" w:rsidR="00D10DA6" w:rsidRPr="002310A9" w:rsidRDefault="00D10DA6" w:rsidP="004F0AA7">
          <w:pPr>
            <w:pStyle w:val="stBilgi"/>
            <w:rPr>
              <w:b/>
            </w:rPr>
          </w:pPr>
          <w:r>
            <w:rPr>
              <w:b/>
            </w:rPr>
            <w:t>-</w:t>
          </w:r>
        </w:p>
      </w:tc>
    </w:tr>
    <w:tr w:rsidR="00D10DA6" w:rsidRPr="002310A9" w14:paraId="10721D19" w14:textId="77777777" w:rsidTr="004F0AA7">
      <w:trPr>
        <w:trHeight w:val="276"/>
      </w:trPr>
      <w:tc>
        <w:tcPr>
          <w:tcW w:w="1526" w:type="dxa"/>
          <w:vMerge/>
          <w:shd w:val="clear" w:color="auto" w:fill="auto"/>
          <w:vAlign w:val="center"/>
        </w:tcPr>
        <w:p w14:paraId="14C63A56" w14:textId="77777777" w:rsidR="00D10DA6" w:rsidRPr="002310A9" w:rsidRDefault="00D10DA6" w:rsidP="004F0AA7">
          <w:pPr>
            <w:pStyle w:val="stBilgi"/>
          </w:pPr>
        </w:p>
      </w:tc>
      <w:tc>
        <w:tcPr>
          <w:tcW w:w="5386" w:type="dxa"/>
          <w:vMerge/>
          <w:shd w:val="clear" w:color="auto" w:fill="auto"/>
          <w:vAlign w:val="center"/>
        </w:tcPr>
        <w:p w14:paraId="13B8B0D0" w14:textId="77777777" w:rsidR="00D10DA6" w:rsidRPr="002310A9" w:rsidRDefault="00D10DA6" w:rsidP="004F0AA7">
          <w:pPr>
            <w:pStyle w:val="stBilgi"/>
          </w:pPr>
        </w:p>
      </w:tc>
      <w:tc>
        <w:tcPr>
          <w:tcW w:w="1560" w:type="dxa"/>
          <w:shd w:val="clear" w:color="auto" w:fill="auto"/>
          <w:vAlign w:val="center"/>
        </w:tcPr>
        <w:p w14:paraId="2F63DE8D" w14:textId="77777777" w:rsidR="00D10DA6" w:rsidRPr="002310A9" w:rsidRDefault="00D10DA6" w:rsidP="004F0AA7">
          <w:pPr>
            <w:pStyle w:val="stBilgi"/>
          </w:pPr>
          <w:r w:rsidRPr="002310A9">
            <w:t>Revizyon No</w:t>
          </w:r>
        </w:p>
      </w:tc>
      <w:tc>
        <w:tcPr>
          <w:tcW w:w="1382" w:type="dxa"/>
          <w:shd w:val="clear" w:color="auto" w:fill="auto"/>
          <w:vAlign w:val="center"/>
        </w:tcPr>
        <w:p w14:paraId="255D8989" w14:textId="77777777" w:rsidR="00D10DA6" w:rsidRPr="002310A9" w:rsidRDefault="005541E8" w:rsidP="004F0AA7">
          <w:pPr>
            <w:pStyle w:val="stBilgi"/>
            <w:rPr>
              <w:b/>
            </w:rPr>
          </w:pPr>
          <w:r>
            <w:rPr>
              <w:b/>
            </w:rPr>
            <w:t>0</w:t>
          </w:r>
        </w:p>
      </w:tc>
    </w:tr>
    <w:tr w:rsidR="00D10DA6" w:rsidRPr="002310A9" w14:paraId="5AB1124F" w14:textId="77777777" w:rsidTr="004F0AA7">
      <w:trPr>
        <w:trHeight w:val="276"/>
      </w:trPr>
      <w:tc>
        <w:tcPr>
          <w:tcW w:w="1526" w:type="dxa"/>
          <w:vMerge/>
          <w:shd w:val="clear" w:color="auto" w:fill="auto"/>
          <w:vAlign w:val="center"/>
        </w:tcPr>
        <w:p w14:paraId="04D2F0C6" w14:textId="77777777" w:rsidR="00D10DA6" w:rsidRPr="002310A9" w:rsidRDefault="00D10DA6" w:rsidP="004F0AA7">
          <w:pPr>
            <w:pStyle w:val="stBilgi"/>
          </w:pPr>
        </w:p>
      </w:tc>
      <w:tc>
        <w:tcPr>
          <w:tcW w:w="5386" w:type="dxa"/>
          <w:vMerge/>
          <w:shd w:val="clear" w:color="auto" w:fill="auto"/>
          <w:vAlign w:val="center"/>
        </w:tcPr>
        <w:p w14:paraId="2B6B813F" w14:textId="77777777" w:rsidR="00D10DA6" w:rsidRPr="002310A9" w:rsidRDefault="00D10DA6" w:rsidP="004F0AA7">
          <w:pPr>
            <w:pStyle w:val="stBilgi"/>
          </w:pPr>
        </w:p>
      </w:tc>
      <w:tc>
        <w:tcPr>
          <w:tcW w:w="1560" w:type="dxa"/>
          <w:shd w:val="clear" w:color="auto" w:fill="auto"/>
          <w:vAlign w:val="center"/>
        </w:tcPr>
        <w:p w14:paraId="564A12E5" w14:textId="77777777" w:rsidR="00D10DA6" w:rsidRPr="002310A9" w:rsidRDefault="00D10DA6" w:rsidP="004F0AA7">
          <w:pPr>
            <w:pStyle w:val="stBilgi"/>
          </w:pPr>
          <w:r w:rsidRPr="002310A9">
            <w:t>Sayfa</w:t>
          </w:r>
        </w:p>
      </w:tc>
      <w:tc>
        <w:tcPr>
          <w:tcW w:w="1382" w:type="dxa"/>
          <w:shd w:val="clear" w:color="auto" w:fill="auto"/>
          <w:vAlign w:val="center"/>
        </w:tcPr>
        <w:p w14:paraId="72C3C031" w14:textId="13BEAC52" w:rsidR="00D10DA6" w:rsidRPr="002310A9" w:rsidRDefault="005541E8" w:rsidP="004F0AA7">
          <w:pPr>
            <w:pStyle w:val="stBilgi"/>
            <w:rPr>
              <w:b/>
            </w:rPr>
          </w:pPr>
          <w:r>
            <w:rPr>
              <w:b/>
            </w:rPr>
            <w:fldChar w:fldCharType="begin"/>
          </w:r>
          <w:r>
            <w:rPr>
              <w:b/>
            </w:rPr>
            <w:instrText xml:space="preserve"> NUMPAGES   \* MERGEFORMAT </w:instrText>
          </w:r>
          <w:r>
            <w:rPr>
              <w:b/>
            </w:rPr>
            <w:fldChar w:fldCharType="separate"/>
          </w:r>
          <w:r w:rsidR="004F1343">
            <w:rPr>
              <w:b/>
              <w:noProof/>
            </w:rPr>
            <w:t>2</w:t>
          </w:r>
          <w:r>
            <w:rPr>
              <w:b/>
            </w:rPr>
            <w:fldChar w:fldCharType="end"/>
          </w:r>
          <w:r>
            <w:rPr>
              <w:b/>
            </w:rPr>
            <w:t>-</w:t>
          </w:r>
          <w:r>
            <w:rPr>
              <w:b/>
            </w:rPr>
            <w:fldChar w:fldCharType="begin"/>
          </w:r>
          <w:r>
            <w:rPr>
              <w:b/>
            </w:rPr>
            <w:instrText xml:space="preserve"> PAGE  \* Arabic  \* MERGEFORMAT </w:instrText>
          </w:r>
          <w:r>
            <w:rPr>
              <w:b/>
            </w:rPr>
            <w:fldChar w:fldCharType="separate"/>
          </w:r>
          <w:r w:rsidR="004F1343">
            <w:rPr>
              <w:b/>
              <w:noProof/>
            </w:rPr>
            <w:t>1</w:t>
          </w:r>
          <w:r>
            <w:rPr>
              <w:b/>
            </w:rPr>
            <w:fldChar w:fldCharType="end"/>
          </w:r>
        </w:p>
      </w:tc>
    </w:tr>
  </w:tbl>
  <w:p w14:paraId="561839F0" w14:textId="77777777" w:rsidR="00D10DA6" w:rsidRDefault="00D10DA6">
    <w:pPr>
      <w:pStyle w:val="stBilgi"/>
    </w:pPr>
  </w:p>
  <w:p w14:paraId="7A7392D6" w14:textId="77777777" w:rsidR="00D10DA6" w:rsidRDefault="00D10DA6">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6E02F7"/>
    <w:multiLevelType w:val="hybridMultilevel"/>
    <w:tmpl w:val="B59A4290"/>
    <w:lvl w:ilvl="0" w:tplc="ECA4D264">
      <w:start w:val="1"/>
      <w:numFmt w:val="lowerLetter"/>
      <w:lvlText w:val="%1)"/>
      <w:lvlJc w:val="left"/>
      <w:pPr>
        <w:ind w:left="100" w:hanging="268"/>
        <w:jc w:val="left"/>
      </w:pPr>
      <w:rPr>
        <w:rFonts w:ascii="Calibri" w:eastAsia="Calibri" w:hAnsi="Calibri" w:cs="Calibri" w:hint="default"/>
        <w:color w:val="1B273C"/>
        <w:spacing w:val="-12"/>
        <w:w w:val="100"/>
        <w:sz w:val="22"/>
        <w:szCs w:val="22"/>
        <w:lang w:val="tr-TR" w:eastAsia="tr-TR" w:bidi="tr-TR"/>
      </w:rPr>
    </w:lvl>
    <w:lvl w:ilvl="1" w:tplc="F81CE2AE">
      <w:numFmt w:val="bullet"/>
      <w:lvlText w:val="•"/>
      <w:lvlJc w:val="left"/>
      <w:pPr>
        <w:ind w:left="1018" w:hanging="268"/>
      </w:pPr>
      <w:rPr>
        <w:rFonts w:hint="default"/>
        <w:lang w:val="tr-TR" w:eastAsia="tr-TR" w:bidi="tr-TR"/>
      </w:rPr>
    </w:lvl>
    <w:lvl w:ilvl="2" w:tplc="E33622A4">
      <w:numFmt w:val="bullet"/>
      <w:lvlText w:val="•"/>
      <w:lvlJc w:val="left"/>
      <w:pPr>
        <w:ind w:left="1936" w:hanging="268"/>
      </w:pPr>
      <w:rPr>
        <w:rFonts w:hint="default"/>
        <w:lang w:val="tr-TR" w:eastAsia="tr-TR" w:bidi="tr-TR"/>
      </w:rPr>
    </w:lvl>
    <w:lvl w:ilvl="3" w:tplc="3566FD6E">
      <w:numFmt w:val="bullet"/>
      <w:lvlText w:val="•"/>
      <w:lvlJc w:val="left"/>
      <w:pPr>
        <w:ind w:left="2854" w:hanging="268"/>
      </w:pPr>
      <w:rPr>
        <w:rFonts w:hint="default"/>
        <w:lang w:val="tr-TR" w:eastAsia="tr-TR" w:bidi="tr-TR"/>
      </w:rPr>
    </w:lvl>
    <w:lvl w:ilvl="4" w:tplc="1BB8B3BE">
      <w:numFmt w:val="bullet"/>
      <w:lvlText w:val="•"/>
      <w:lvlJc w:val="left"/>
      <w:pPr>
        <w:ind w:left="3772" w:hanging="268"/>
      </w:pPr>
      <w:rPr>
        <w:rFonts w:hint="default"/>
        <w:lang w:val="tr-TR" w:eastAsia="tr-TR" w:bidi="tr-TR"/>
      </w:rPr>
    </w:lvl>
    <w:lvl w:ilvl="5" w:tplc="067076CE">
      <w:numFmt w:val="bullet"/>
      <w:lvlText w:val="•"/>
      <w:lvlJc w:val="left"/>
      <w:pPr>
        <w:ind w:left="4690" w:hanging="268"/>
      </w:pPr>
      <w:rPr>
        <w:rFonts w:hint="default"/>
        <w:lang w:val="tr-TR" w:eastAsia="tr-TR" w:bidi="tr-TR"/>
      </w:rPr>
    </w:lvl>
    <w:lvl w:ilvl="6" w:tplc="20467AEA">
      <w:numFmt w:val="bullet"/>
      <w:lvlText w:val="•"/>
      <w:lvlJc w:val="left"/>
      <w:pPr>
        <w:ind w:left="5608" w:hanging="268"/>
      </w:pPr>
      <w:rPr>
        <w:rFonts w:hint="default"/>
        <w:lang w:val="tr-TR" w:eastAsia="tr-TR" w:bidi="tr-TR"/>
      </w:rPr>
    </w:lvl>
    <w:lvl w:ilvl="7" w:tplc="BEC40694">
      <w:numFmt w:val="bullet"/>
      <w:lvlText w:val="•"/>
      <w:lvlJc w:val="left"/>
      <w:pPr>
        <w:ind w:left="6526" w:hanging="268"/>
      </w:pPr>
      <w:rPr>
        <w:rFonts w:hint="default"/>
        <w:lang w:val="tr-TR" w:eastAsia="tr-TR" w:bidi="tr-TR"/>
      </w:rPr>
    </w:lvl>
    <w:lvl w:ilvl="8" w:tplc="B0B82482">
      <w:numFmt w:val="bullet"/>
      <w:lvlText w:val="•"/>
      <w:lvlJc w:val="left"/>
      <w:pPr>
        <w:ind w:left="7444" w:hanging="268"/>
      </w:pPr>
      <w:rPr>
        <w:rFonts w:hint="default"/>
        <w:lang w:val="tr-TR" w:eastAsia="tr-TR" w:bidi="tr-TR"/>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2"/>
  </w:compat>
  <w:rsids>
    <w:rsidRoot w:val="005E617B"/>
    <w:rsid w:val="003C70FC"/>
    <w:rsid w:val="004F1343"/>
    <w:rsid w:val="005541E8"/>
    <w:rsid w:val="005E60ED"/>
    <w:rsid w:val="005E617B"/>
    <w:rsid w:val="009C06CF"/>
    <w:rsid w:val="00BF36B8"/>
    <w:rsid w:val="00D10DA6"/>
    <w:rsid w:val="00F4555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433E38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tr-TR" w:eastAsia="tr-TR" w:bidi="tr-TR"/>
    </w:rPr>
  </w:style>
  <w:style w:type="paragraph" w:styleId="Balk1">
    <w:name w:val="heading 1"/>
    <w:basedOn w:val="Normal"/>
    <w:uiPriority w:val="1"/>
    <w:qFormat/>
    <w:pPr>
      <w:ind w:left="666"/>
      <w:outlineLvl w:val="0"/>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100"/>
    </w:pPr>
  </w:style>
  <w:style w:type="paragraph" w:styleId="ListeParagraf">
    <w:name w:val="List Paragraph"/>
    <w:basedOn w:val="Normal"/>
    <w:uiPriority w:val="1"/>
    <w:qFormat/>
    <w:pPr>
      <w:ind w:left="100" w:firstLine="566"/>
      <w:jc w:val="both"/>
    </w:pPr>
  </w:style>
  <w:style w:type="paragraph" w:customStyle="1" w:styleId="TableParagraph">
    <w:name w:val="Table Paragraph"/>
    <w:basedOn w:val="Normal"/>
    <w:uiPriority w:val="1"/>
    <w:qFormat/>
    <w:pPr>
      <w:spacing w:line="246" w:lineRule="exact"/>
      <w:ind w:left="1230"/>
      <w:jc w:val="center"/>
    </w:pPr>
    <w:rPr>
      <w:rFonts w:ascii="Times New Roman" w:eastAsia="Times New Roman" w:hAnsi="Times New Roman" w:cs="Times New Roman"/>
    </w:rPr>
  </w:style>
  <w:style w:type="paragraph" w:styleId="stBilgi">
    <w:name w:val="header"/>
    <w:basedOn w:val="Normal"/>
    <w:link w:val="stBilgiChar"/>
    <w:uiPriority w:val="99"/>
    <w:unhideWhenUsed/>
    <w:rsid w:val="00D10DA6"/>
    <w:pPr>
      <w:tabs>
        <w:tab w:val="center" w:pos="4536"/>
        <w:tab w:val="right" w:pos="9072"/>
      </w:tabs>
    </w:pPr>
  </w:style>
  <w:style w:type="character" w:customStyle="1" w:styleId="stBilgiChar">
    <w:name w:val="Üst Bilgi Char"/>
    <w:basedOn w:val="VarsaylanParagrafYazTipi"/>
    <w:link w:val="stBilgi"/>
    <w:uiPriority w:val="99"/>
    <w:rsid w:val="00D10DA6"/>
    <w:rPr>
      <w:rFonts w:ascii="Calibri" w:eastAsia="Calibri" w:hAnsi="Calibri" w:cs="Calibri"/>
      <w:lang w:val="tr-TR" w:eastAsia="tr-TR" w:bidi="tr-TR"/>
    </w:rPr>
  </w:style>
  <w:style w:type="paragraph" w:styleId="AltBilgi">
    <w:name w:val="footer"/>
    <w:basedOn w:val="Normal"/>
    <w:link w:val="AltBilgiChar"/>
    <w:uiPriority w:val="99"/>
    <w:unhideWhenUsed/>
    <w:rsid w:val="00D10DA6"/>
    <w:pPr>
      <w:tabs>
        <w:tab w:val="center" w:pos="4536"/>
        <w:tab w:val="right" w:pos="9072"/>
      </w:tabs>
    </w:pPr>
  </w:style>
  <w:style w:type="character" w:customStyle="1" w:styleId="AltBilgiChar">
    <w:name w:val="Alt Bilgi Char"/>
    <w:basedOn w:val="VarsaylanParagrafYazTipi"/>
    <w:link w:val="AltBilgi"/>
    <w:uiPriority w:val="99"/>
    <w:rsid w:val="00D10DA6"/>
    <w:rPr>
      <w:rFonts w:ascii="Calibri" w:eastAsia="Calibri" w:hAnsi="Calibri" w:cs="Calibri"/>
      <w:lang w:val="tr-TR" w:eastAsia="tr-TR" w:bidi="tr-TR"/>
    </w:rPr>
  </w:style>
  <w:style w:type="paragraph" w:styleId="BalonMetni">
    <w:name w:val="Balloon Text"/>
    <w:basedOn w:val="Normal"/>
    <w:link w:val="BalonMetniChar"/>
    <w:uiPriority w:val="99"/>
    <w:semiHidden/>
    <w:unhideWhenUsed/>
    <w:rsid w:val="00D10DA6"/>
    <w:rPr>
      <w:rFonts w:ascii="Tahoma" w:hAnsi="Tahoma" w:cs="Tahoma"/>
      <w:sz w:val="16"/>
      <w:szCs w:val="16"/>
    </w:rPr>
  </w:style>
  <w:style w:type="character" w:customStyle="1" w:styleId="BalonMetniChar">
    <w:name w:val="Balon Metni Char"/>
    <w:basedOn w:val="VarsaylanParagrafYazTipi"/>
    <w:link w:val="BalonMetni"/>
    <w:uiPriority w:val="99"/>
    <w:semiHidden/>
    <w:rsid w:val="00D10DA6"/>
    <w:rPr>
      <w:rFonts w:ascii="Tahoma" w:eastAsia="Calibri" w:hAnsi="Tahoma" w:cs="Tahoma"/>
      <w:sz w:val="16"/>
      <w:szCs w:val="16"/>
      <w:lang w:val="tr-TR"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6A54E5-9865-4358-B611-BD35467C5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544</Words>
  <Characters>3107</Characters>
  <Application>Microsoft Office Word</Application>
  <DocSecurity>0</DocSecurity>
  <Lines>25</Lines>
  <Paragraphs>7</Paragraphs>
  <ScaleCrop>false</ScaleCrop>
  <Company/>
  <LinksUpToDate>false</LinksUpToDate>
  <CharactersWithSpaces>3644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Resmi Gazete Tarihi: 25</dc:title>
  <dc:creator>Ayse Odabası</dc:creator>
  <cp:lastModifiedBy>Kalite Ofisi</cp:lastModifiedBy>
  <cp:revision>6</cp:revision>
  <dcterms:created xsi:type="dcterms:W3CDTF">2017-12-25T06:55:00Z</dcterms:created>
  <dcterms:modified xsi:type="dcterms:W3CDTF">2018-06-19T06:36:00Z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2015-01-13T00:00:00Z</vt:filetime>
  </property>
  <property fmtid="{D5CDD505-2E9C-101B-9397-08002B2CF9AE}" pid="3" name="Creator">
    <vt:lpwstr>Writer</vt:lpwstr>
  </property>
  <property fmtid="{D5CDD505-2E9C-101B-9397-08002B2CF9AE}" pid="4" name="LastSaved">
    <vt:filetime>2017-12-25T00:00:00Z</vt:filetime>
  </property>
</Properties>
</file>