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5E86" w14:textId="77777777" w:rsidR="00464CD8" w:rsidRDefault="00464CD8" w:rsidP="00464CD8">
      <w:r>
        <w:t>GENEL HÜKÜMLER VE AMAÇ:</w:t>
      </w:r>
    </w:p>
    <w:p w14:paraId="1F3B33B1" w14:textId="77777777" w:rsidR="00464CD8" w:rsidRDefault="00464CD8" w:rsidP="00464CD8">
      <w:r>
        <w:t>Madde 1- GTÜ Fen Bilimleri ile Sosyal Bilimler Enstitülerinde lisansüstü programlara (yüksek lisans ve doktora) kayıt yaptırmaya hak kazanan yurtdışında ikamet eden T.C. uyruklu adaylar, Türk Cumhuriyetleri ve Toplulukları ile yabancı uyruklu aday öğrencilerin Türkçe yeterlilik sınavları Senatoca belirlenen akademik takvime göre yapılır. Bu yeterlilik sınavından başarılı olan öğrenciler, yurtiçi ve yurtdışında Türkçe eğitim-öğretim yapan üniversitelerden mezun olanlar ile Türkçe Öğretim Merkezi (TÖMER) sertifikasına sahip olan öğrenciler, doğrudan kendi bilim dalları ile ilgili olan programlarda lisansüstü öğretime başlarlar.</w:t>
      </w:r>
    </w:p>
    <w:p w14:paraId="3D3ACE30" w14:textId="77777777" w:rsidR="00464CD8" w:rsidRDefault="00464CD8" w:rsidP="00464CD8">
      <w:r>
        <w:t>Madde 2- Türkçe Hazırlık Öğretimi ile Enstitüde kayıt yaptırmaya hak kazanan aday öğrencilerden Türk Dili yeterli görülmeyenlere, Türkçe eğitim-öğretim programlarını izleyebilme güç ve yeteneği kazandırılması amaçlanmaktadır.</w:t>
      </w:r>
    </w:p>
    <w:p w14:paraId="1404ECD2" w14:textId="77777777" w:rsidR="00464CD8" w:rsidRDefault="00464CD8" w:rsidP="00464CD8">
      <w:r>
        <w:t>TANIM:</w:t>
      </w:r>
    </w:p>
    <w:p w14:paraId="1BFDDE8D" w14:textId="77777777" w:rsidR="00464CD8" w:rsidRDefault="00464CD8" w:rsidP="00464CD8">
      <w:r>
        <w:t>Madde 3- Bu yönergede dil; Türkçe, GTÜ; Gebze Teknik Üniversitesi; Enstitüler; Fen Bilimleri Enstitüsü ve Sosyal Bilimler Enstitüsü; THB, Türkçe Hazırlık Bölümü anlamında kullanılmaktadır.</w:t>
      </w:r>
    </w:p>
    <w:p w14:paraId="754F8BC7" w14:textId="77777777" w:rsidR="00464CD8" w:rsidRDefault="00464CD8" w:rsidP="00464CD8">
      <w:r>
        <w:t>KAPSAM:</w:t>
      </w:r>
    </w:p>
    <w:p w14:paraId="07B25937" w14:textId="77777777" w:rsidR="00464CD8" w:rsidRDefault="00464CD8" w:rsidP="00464CD8">
      <w:r>
        <w:t>Madde 4- Bu yönerge GTÜ Lisansüstü Eğitim-Öğretim Yönetmeliğine uygun olarak Türkçe Hazırlık Öğretiminin nasıl düzenleneceğini, sınav ve değerlendirmelerin nasıl yapılacağını kapsamaktadır.</w:t>
      </w:r>
    </w:p>
    <w:p w14:paraId="601559A3" w14:textId="77777777" w:rsidR="00464CD8" w:rsidRDefault="00464CD8" w:rsidP="00464CD8">
      <w:r>
        <w:t>YETERLİLİK SINAVI:</w:t>
      </w:r>
    </w:p>
    <w:p w14:paraId="2E1CA712" w14:textId="77777777" w:rsidR="00464CD8" w:rsidRDefault="00464CD8" w:rsidP="00464CD8">
      <w:r>
        <w:t>Madde 5- Bir yüksek lisans ve doktora programına hak kazanmış bulunan aday öğrenciler Türkçe Yeterlilik Sınavına tabi tutulurlar. Bu sınavda başarılı olabilmek için tam notun en az % 60’ını almaları gerekir. Bunu sağlayamayanlar ve sınava girmeyenler başarısız kabul edilirler.</w:t>
      </w:r>
    </w:p>
    <w:p w14:paraId="1C4223C0" w14:textId="77777777" w:rsidR="00464CD8" w:rsidRDefault="00464CD8" w:rsidP="00464CD8">
      <w:r>
        <w:t>TÜRKÇE HAZIRLIK:</w:t>
      </w:r>
    </w:p>
    <w:p w14:paraId="306237CB" w14:textId="77777777" w:rsidR="00464CD8" w:rsidRDefault="00464CD8" w:rsidP="00464CD8">
      <w:r>
        <w:t>Madde 6- Yeterlilik sınavında başarısız olan öğrenciler, Türkçe dil bilgisi seviyelerini yeterli dereceye getirebilmek için, en fazla 1 (bir) akademik yıl süren Türkçe Hazırlık öğrenimi için THB’ne kayıt yaptırırlar. Enstitüye kayıt işlemleri Rektörlük Öğrenci İşleri Daire Başkanlığı’nca ayrıca yerine getirilir.</w:t>
      </w:r>
    </w:p>
    <w:p w14:paraId="430345AE" w14:textId="77777777" w:rsidR="00464CD8" w:rsidRDefault="00464CD8" w:rsidP="00464CD8">
      <w:r>
        <w:t>Türkçe Hazırlık öğrenimine tabi olan öğrenciler, kayıt tarihinden itibaren 1 (bir) akademik yıl içinde THB’nce organize edilen ve 2 (iki) ayrı tarihte yapılan yeterlilik sınavından birine girerek başarılı olmak zorundadır. Bu süre sonunda başarılı olamayan öğrencilerin, başvuruda bulundukları anabilim dalına kayıt olma hakları ortadan kalkar.</w:t>
      </w:r>
    </w:p>
    <w:p w14:paraId="6F95035E" w14:textId="77777777" w:rsidR="00464CD8" w:rsidRDefault="00464CD8" w:rsidP="00464CD8">
      <w:r>
        <w:t>Madde 7- THB’nce organize edilen hazırlık sınıflarındaki öğrenim süreleri ve sınav tarihleri GTÜ Senatosu’nca belirlenen akademik takvime uygun olarak yapılır.</w:t>
      </w:r>
    </w:p>
    <w:p w14:paraId="42AF2136" w14:textId="77777777" w:rsidR="00464CD8" w:rsidRDefault="00464CD8" w:rsidP="00464CD8">
      <w:r>
        <w:t>Madde 8- Türkçe Hazırlık öğrenimini başarı ile tamamlayan öğrencilerin listeleri THB’nce Enstitülere topluca bildirilir. Bu öğrenciler, hazırlık öğrenimini takip eden ilk eğitim-öğretim yarıyılı başında, başvurmuş oldukları anabilim dalına kayıt yaptırırlar.</w:t>
      </w:r>
    </w:p>
    <w:p w14:paraId="5399FC64" w14:textId="77777777" w:rsidR="00464CD8" w:rsidRDefault="00464CD8" w:rsidP="00464CD8">
      <w:r>
        <w:t>Madde 9- Bu yönerge GTÜ Senato’unca kabul edildiği tarihten itibaren yürürlüğe girer.</w:t>
      </w:r>
    </w:p>
    <w:p w14:paraId="5574781F" w14:textId="77777777" w:rsidR="00464CD8" w:rsidRDefault="00464CD8" w:rsidP="00464CD8">
      <w:r>
        <w:t>Madde 10- Bu Yönerge hükümleri, THB Başkanlığı’nca yürütülür.</w:t>
      </w:r>
    </w:p>
    <w:p w14:paraId="70311766" w14:textId="77777777" w:rsidR="00464CD8" w:rsidRPr="00464CD8" w:rsidRDefault="00464CD8" w:rsidP="00464CD8">
      <w:pPr>
        <w:pStyle w:val="Default"/>
      </w:pPr>
      <w:r>
        <w:lastRenderedPageBreak/>
        <w:tab/>
      </w:r>
    </w:p>
    <w:tbl>
      <w:tblPr>
        <w:tblW w:w="0" w:type="auto"/>
        <w:tblBorders>
          <w:top w:val="nil"/>
          <w:left w:val="nil"/>
          <w:bottom w:val="nil"/>
          <w:right w:val="nil"/>
        </w:tblBorders>
        <w:tblLayout w:type="fixed"/>
        <w:tblLook w:val="0000" w:firstRow="0" w:lastRow="0" w:firstColumn="0" w:lastColumn="0" w:noHBand="0" w:noVBand="0"/>
      </w:tblPr>
      <w:tblGrid>
        <w:gridCol w:w="2303"/>
        <w:gridCol w:w="1152"/>
        <w:gridCol w:w="1151"/>
        <w:gridCol w:w="2305"/>
      </w:tblGrid>
      <w:tr w:rsidR="00464CD8" w:rsidRPr="00464CD8" w14:paraId="21ED8A01" w14:textId="77777777">
        <w:trPr>
          <w:trHeight w:val="88"/>
        </w:trPr>
        <w:tc>
          <w:tcPr>
            <w:tcW w:w="6911" w:type="dxa"/>
            <w:gridSpan w:val="4"/>
          </w:tcPr>
          <w:p w14:paraId="265B919A"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color w:val="000000"/>
                <w:sz w:val="24"/>
                <w:szCs w:val="24"/>
              </w:rPr>
              <w:t xml:space="preserve"> </w:t>
            </w:r>
            <w:r w:rsidRPr="00464CD8">
              <w:rPr>
                <w:rFonts w:ascii="Times New Roman" w:hAnsi="Times New Roman" w:cs="Times New Roman"/>
                <w:b/>
                <w:bCs/>
                <w:color w:val="000000"/>
                <w:sz w:val="20"/>
                <w:szCs w:val="20"/>
              </w:rPr>
              <w:t xml:space="preserve">Yönergenin Kabul Edildiği Senato Kararı </w:t>
            </w:r>
          </w:p>
        </w:tc>
      </w:tr>
      <w:tr w:rsidR="00464CD8" w:rsidRPr="00464CD8" w14:paraId="3DA31C1B" w14:textId="77777777">
        <w:trPr>
          <w:trHeight w:val="88"/>
        </w:trPr>
        <w:tc>
          <w:tcPr>
            <w:tcW w:w="3455" w:type="dxa"/>
            <w:gridSpan w:val="2"/>
          </w:tcPr>
          <w:p w14:paraId="30D3FFA9"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b/>
                <w:bCs/>
                <w:color w:val="000000"/>
                <w:sz w:val="20"/>
                <w:szCs w:val="20"/>
              </w:rPr>
              <w:t xml:space="preserve">Tarihi </w:t>
            </w:r>
          </w:p>
        </w:tc>
        <w:tc>
          <w:tcPr>
            <w:tcW w:w="3455" w:type="dxa"/>
            <w:gridSpan w:val="2"/>
          </w:tcPr>
          <w:p w14:paraId="5003D22E"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b/>
                <w:bCs/>
                <w:color w:val="000000"/>
                <w:sz w:val="20"/>
                <w:szCs w:val="20"/>
              </w:rPr>
              <w:t xml:space="preserve">Sayısı </w:t>
            </w:r>
          </w:p>
        </w:tc>
      </w:tr>
      <w:tr w:rsidR="00464CD8" w:rsidRPr="00464CD8" w14:paraId="6E0F5346" w14:textId="77777777">
        <w:trPr>
          <w:trHeight w:val="98"/>
        </w:trPr>
        <w:tc>
          <w:tcPr>
            <w:tcW w:w="3455" w:type="dxa"/>
            <w:gridSpan w:val="2"/>
          </w:tcPr>
          <w:p w14:paraId="357A1924"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rPr>
            </w:pPr>
            <w:r w:rsidRPr="00464CD8">
              <w:rPr>
                <w:rFonts w:ascii="Times New Roman" w:hAnsi="Times New Roman" w:cs="Times New Roman"/>
                <w:b/>
                <w:bCs/>
                <w:color w:val="000000"/>
              </w:rPr>
              <w:t xml:space="preserve">30.11.2000 </w:t>
            </w:r>
          </w:p>
        </w:tc>
        <w:tc>
          <w:tcPr>
            <w:tcW w:w="3455" w:type="dxa"/>
            <w:gridSpan w:val="2"/>
          </w:tcPr>
          <w:p w14:paraId="2823520C"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rPr>
            </w:pPr>
            <w:r w:rsidRPr="00464CD8">
              <w:rPr>
                <w:rFonts w:ascii="Times New Roman" w:hAnsi="Times New Roman" w:cs="Times New Roman"/>
                <w:b/>
                <w:bCs/>
                <w:color w:val="000000"/>
              </w:rPr>
              <w:t xml:space="preserve">2000/17 </w:t>
            </w:r>
          </w:p>
        </w:tc>
      </w:tr>
      <w:tr w:rsidR="00464CD8" w:rsidRPr="00464CD8" w14:paraId="14AAA220" w14:textId="77777777">
        <w:trPr>
          <w:trHeight w:val="88"/>
        </w:trPr>
        <w:tc>
          <w:tcPr>
            <w:tcW w:w="6911" w:type="dxa"/>
            <w:gridSpan w:val="4"/>
          </w:tcPr>
          <w:p w14:paraId="5CFA981E"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b/>
                <w:bCs/>
                <w:color w:val="000000"/>
                <w:sz w:val="20"/>
                <w:szCs w:val="20"/>
              </w:rPr>
              <w:t xml:space="preserve">Yönerge’de Değişiklik Yapan Üniversite Senatosu Kararları </w:t>
            </w:r>
          </w:p>
        </w:tc>
      </w:tr>
      <w:tr w:rsidR="00464CD8" w:rsidRPr="00464CD8" w14:paraId="23856669" w14:textId="77777777">
        <w:trPr>
          <w:trHeight w:val="88"/>
        </w:trPr>
        <w:tc>
          <w:tcPr>
            <w:tcW w:w="3455" w:type="dxa"/>
            <w:gridSpan w:val="2"/>
          </w:tcPr>
          <w:p w14:paraId="711A5653"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b/>
                <w:bCs/>
                <w:color w:val="000000"/>
                <w:sz w:val="20"/>
                <w:szCs w:val="20"/>
              </w:rPr>
              <w:t xml:space="preserve">Tarihi </w:t>
            </w:r>
          </w:p>
        </w:tc>
        <w:tc>
          <w:tcPr>
            <w:tcW w:w="3455" w:type="dxa"/>
            <w:gridSpan w:val="2"/>
          </w:tcPr>
          <w:p w14:paraId="1A6EB0E8"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b/>
                <w:bCs/>
                <w:color w:val="000000"/>
                <w:sz w:val="20"/>
                <w:szCs w:val="20"/>
              </w:rPr>
              <w:t xml:space="preserve">Sayısı </w:t>
            </w:r>
          </w:p>
        </w:tc>
      </w:tr>
      <w:tr w:rsidR="00464CD8" w:rsidRPr="00464CD8" w14:paraId="5EEDED70" w14:textId="77777777">
        <w:trPr>
          <w:trHeight w:val="92"/>
        </w:trPr>
        <w:tc>
          <w:tcPr>
            <w:tcW w:w="2303" w:type="dxa"/>
          </w:tcPr>
          <w:p w14:paraId="4FB6917A"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color w:val="000000"/>
                <w:sz w:val="20"/>
                <w:szCs w:val="20"/>
              </w:rPr>
              <w:t xml:space="preserve">1. (1) </w:t>
            </w:r>
          </w:p>
        </w:tc>
        <w:tc>
          <w:tcPr>
            <w:tcW w:w="2303" w:type="dxa"/>
            <w:gridSpan w:val="2"/>
          </w:tcPr>
          <w:p w14:paraId="29F7CC2A"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color w:val="000000"/>
                <w:sz w:val="20"/>
                <w:szCs w:val="20"/>
              </w:rPr>
              <w:t xml:space="preserve">24.12.2014 </w:t>
            </w:r>
          </w:p>
        </w:tc>
        <w:tc>
          <w:tcPr>
            <w:tcW w:w="2303" w:type="dxa"/>
          </w:tcPr>
          <w:p w14:paraId="22602EBE" w14:textId="77777777" w:rsidR="00464CD8" w:rsidRPr="00464CD8" w:rsidRDefault="00464CD8" w:rsidP="00464CD8">
            <w:pPr>
              <w:autoSpaceDE w:val="0"/>
              <w:autoSpaceDN w:val="0"/>
              <w:adjustRightInd w:val="0"/>
              <w:spacing w:after="0" w:line="240" w:lineRule="auto"/>
              <w:rPr>
                <w:rFonts w:ascii="Times New Roman" w:hAnsi="Times New Roman" w:cs="Times New Roman"/>
                <w:color w:val="000000"/>
                <w:sz w:val="20"/>
                <w:szCs w:val="20"/>
              </w:rPr>
            </w:pPr>
            <w:r w:rsidRPr="00464CD8">
              <w:rPr>
                <w:rFonts w:ascii="Times New Roman" w:hAnsi="Times New Roman" w:cs="Times New Roman"/>
                <w:color w:val="000000"/>
                <w:sz w:val="20"/>
                <w:szCs w:val="20"/>
              </w:rPr>
              <w:t xml:space="preserve">2014/40 </w:t>
            </w:r>
          </w:p>
        </w:tc>
      </w:tr>
    </w:tbl>
    <w:p w14:paraId="68BAC74A" w14:textId="77777777" w:rsidR="00DE181B" w:rsidRPr="00464CD8" w:rsidRDefault="00DE181B" w:rsidP="00464CD8">
      <w:pPr>
        <w:tabs>
          <w:tab w:val="left" w:pos="1980"/>
        </w:tabs>
      </w:pPr>
      <w:bookmarkStart w:id="0" w:name="_GoBack"/>
      <w:bookmarkEnd w:id="0"/>
    </w:p>
    <w:sectPr w:rsidR="00DE181B" w:rsidRPr="00464CD8"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429" w14:textId="77777777" w:rsidR="005E3619" w:rsidRDefault="005E3619" w:rsidP="002310A9">
      <w:pPr>
        <w:spacing w:after="0" w:line="240" w:lineRule="auto"/>
      </w:pPr>
      <w:r>
        <w:separator/>
      </w:r>
    </w:p>
  </w:endnote>
  <w:endnote w:type="continuationSeparator" w:id="0">
    <w:p w14:paraId="6DC12488" w14:textId="77777777" w:rsidR="005E3619" w:rsidRDefault="005E3619"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B708"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39D97D8E" w14:textId="77777777" w:rsidR="00BA3A37" w:rsidRDefault="00BA3A37">
    <w:pPr>
      <w:pStyle w:val="AltBilgi"/>
    </w:pPr>
  </w:p>
  <w:p w14:paraId="67B28DA5"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6634" w14:textId="77777777" w:rsidR="005E3619" w:rsidRDefault="005E3619" w:rsidP="002310A9">
      <w:pPr>
        <w:spacing w:after="0" w:line="240" w:lineRule="auto"/>
      </w:pPr>
      <w:r>
        <w:separator/>
      </w:r>
    </w:p>
  </w:footnote>
  <w:footnote w:type="continuationSeparator" w:id="0">
    <w:p w14:paraId="4888072F" w14:textId="77777777" w:rsidR="005E3619" w:rsidRDefault="005E3619"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7AE4"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1FB7B025" w14:textId="77777777" w:rsidTr="0068041A">
      <w:trPr>
        <w:trHeight w:val="276"/>
      </w:trPr>
      <w:tc>
        <w:tcPr>
          <w:tcW w:w="1526" w:type="dxa"/>
          <w:vMerge w:val="restart"/>
          <w:shd w:val="clear" w:color="auto" w:fill="auto"/>
          <w:vAlign w:val="center"/>
        </w:tcPr>
        <w:p w14:paraId="7116698C" w14:textId="77777777" w:rsidR="002310A9" w:rsidRPr="002310A9" w:rsidRDefault="002310A9" w:rsidP="002310A9">
          <w:pPr>
            <w:pStyle w:val="stBilgi"/>
          </w:pPr>
          <w:r w:rsidRPr="002310A9">
            <w:rPr>
              <w:noProof/>
              <w:lang w:eastAsia="tr-TR"/>
            </w:rPr>
            <w:drawing>
              <wp:inline distT="0" distB="0" distL="0" distR="0" wp14:anchorId="3EC146FC" wp14:editId="17CD0F6F">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03DC0F48" w14:textId="77777777" w:rsidR="00464CD8" w:rsidRDefault="00464CD8" w:rsidP="00464CD8">
          <w:r>
            <w:t>GEBZE TEKNİK ÜNİVERSİTESİ REKTÖRLÜĞÜ</w:t>
          </w:r>
        </w:p>
        <w:p w14:paraId="2C42F488" w14:textId="77777777" w:rsidR="00464CD8" w:rsidRDefault="00464CD8" w:rsidP="00464CD8">
          <w:r>
            <w:t>TÜRKÇE HAZIRLIK ÖĞRETİM VE SINAV YÖNERGESİ</w:t>
          </w:r>
        </w:p>
        <w:p w14:paraId="1FABC1CD" w14:textId="77777777" w:rsidR="002310A9" w:rsidRPr="002310A9" w:rsidRDefault="002310A9" w:rsidP="002310A9">
          <w:pPr>
            <w:pStyle w:val="stBilgi"/>
          </w:pPr>
        </w:p>
      </w:tc>
      <w:tc>
        <w:tcPr>
          <w:tcW w:w="1560" w:type="dxa"/>
          <w:shd w:val="clear" w:color="auto" w:fill="auto"/>
          <w:vAlign w:val="center"/>
        </w:tcPr>
        <w:p w14:paraId="1B369863" w14:textId="77777777" w:rsidR="002310A9" w:rsidRPr="002310A9" w:rsidRDefault="002310A9" w:rsidP="002310A9">
          <w:pPr>
            <w:pStyle w:val="stBilgi"/>
          </w:pPr>
          <w:r w:rsidRPr="002310A9">
            <w:t>Doküman No</w:t>
          </w:r>
        </w:p>
      </w:tc>
      <w:tc>
        <w:tcPr>
          <w:tcW w:w="1382" w:type="dxa"/>
          <w:shd w:val="clear" w:color="auto" w:fill="auto"/>
          <w:vAlign w:val="center"/>
        </w:tcPr>
        <w:p w14:paraId="1880C950" w14:textId="63AF51C7" w:rsidR="002310A9" w:rsidRPr="002310A9" w:rsidRDefault="001215AC" w:rsidP="002310A9">
          <w:pPr>
            <w:pStyle w:val="stBilgi"/>
            <w:rPr>
              <w:b/>
            </w:rPr>
          </w:pPr>
          <w:r>
            <w:rPr>
              <w:b/>
            </w:rPr>
            <w:t>YÖ-0</w:t>
          </w:r>
          <w:r w:rsidR="007D7BBB">
            <w:rPr>
              <w:b/>
            </w:rPr>
            <w:t>0</w:t>
          </w:r>
          <w:r>
            <w:rPr>
              <w:b/>
            </w:rPr>
            <w:t>38</w:t>
          </w:r>
        </w:p>
      </w:tc>
    </w:tr>
    <w:tr w:rsidR="002310A9" w:rsidRPr="002310A9" w14:paraId="34C98C80" w14:textId="77777777" w:rsidTr="0068041A">
      <w:trPr>
        <w:trHeight w:val="276"/>
      </w:trPr>
      <w:tc>
        <w:tcPr>
          <w:tcW w:w="1526" w:type="dxa"/>
          <w:vMerge/>
          <w:shd w:val="clear" w:color="auto" w:fill="auto"/>
          <w:vAlign w:val="center"/>
        </w:tcPr>
        <w:p w14:paraId="64ED4A1D" w14:textId="77777777" w:rsidR="002310A9" w:rsidRPr="002310A9" w:rsidRDefault="002310A9" w:rsidP="002310A9">
          <w:pPr>
            <w:pStyle w:val="stBilgi"/>
          </w:pPr>
        </w:p>
      </w:tc>
      <w:tc>
        <w:tcPr>
          <w:tcW w:w="5386" w:type="dxa"/>
          <w:vMerge/>
          <w:shd w:val="clear" w:color="auto" w:fill="auto"/>
          <w:vAlign w:val="center"/>
        </w:tcPr>
        <w:p w14:paraId="7E413018" w14:textId="77777777" w:rsidR="002310A9" w:rsidRPr="002310A9" w:rsidRDefault="002310A9" w:rsidP="002310A9">
          <w:pPr>
            <w:pStyle w:val="stBilgi"/>
          </w:pPr>
        </w:p>
      </w:tc>
      <w:tc>
        <w:tcPr>
          <w:tcW w:w="1560" w:type="dxa"/>
          <w:shd w:val="clear" w:color="auto" w:fill="auto"/>
          <w:vAlign w:val="center"/>
        </w:tcPr>
        <w:p w14:paraId="25DF08B3" w14:textId="77777777" w:rsidR="002310A9" w:rsidRPr="002310A9" w:rsidRDefault="002310A9" w:rsidP="002310A9">
          <w:pPr>
            <w:pStyle w:val="stBilgi"/>
          </w:pPr>
          <w:r w:rsidRPr="002310A9">
            <w:t>Yayın Tarihi</w:t>
          </w:r>
        </w:p>
      </w:tc>
      <w:tc>
        <w:tcPr>
          <w:tcW w:w="1382" w:type="dxa"/>
          <w:shd w:val="clear" w:color="auto" w:fill="auto"/>
          <w:vAlign w:val="center"/>
        </w:tcPr>
        <w:p w14:paraId="785D77CB" w14:textId="77777777" w:rsidR="002310A9" w:rsidRPr="002310A9" w:rsidRDefault="001215AC" w:rsidP="002310A9">
          <w:pPr>
            <w:pStyle w:val="stBilgi"/>
            <w:rPr>
              <w:b/>
            </w:rPr>
          </w:pPr>
          <w:r>
            <w:rPr>
              <w:b/>
            </w:rPr>
            <w:t>06.12.2017</w:t>
          </w:r>
        </w:p>
      </w:tc>
    </w:tr>
    <w:tr w:rsidR="002310A9" w:rsidRPr="002310A9" w14:paraId="370F64BC" w14:textId="77777777" w:rsidTr="0068041A">
      <w:trPr>
        <w:trHeight w:val="276"/>
      </w:trPr>
      <w:tc>
        <w:tcPr>
          <w:tcW w:w="1526" w:type="dxa"/>
          <w:vMerge/>
          <w:shd w:val="clear" w:color="auto" w:fill="auto"/>
          <w:vAlign w:val="center"/>
        </w:tcPr>
        <w:p w14:paraId="331FD7C1" w14:textId="77777777" w:rsidR="002310A9" w:rsidRPr="002310A9" w:rsidRDefault="002310A9" w:rsidP="002310A9">
          <w:pPr>
            <w:pStyle w:val="stBilgi"/>
          </w:pPr>
        </w:p>
      </w:tc>
      <w:tc>
        <w:tcPr>
          <w:tcW w:w="5386" w:type="dxa"/>
          <w:vMerge/>
          <w:shd w:val="clear" w:color="auto" w:fill="auto"/>
          <w:vAlign w:val="center"/>
        </w:tcPr>
        <w:p w14:paraId="67A4C501" w14:textId="77777777" w:rsidR="002310A9" w:rsidRPr="002310A9" w:rsidRDefault="002310A9" w:rsidP="002310A9">
          <w:pPr>
            <w:pStyle w:val="stBilgi"/>
          </w:pPr>
        </w:p>
      </w:tc>
      <w:tc>
        <w:tcPr>
          <w:tcW w:w="1560" w:type="dxa"/>
          <w:shd w:val="clear" w:color="auto" w:fill="auto"/>
          <w:vAlign w:val="center"/>
        </w:tcPr>
        <w:p w14:paraId="3726928D" w14:textId="77777777" w:rsidR="002310A9" w:rsidRPr="002310A9" w:rsidRDefault="002310A9" w:rsidP="002310A9">
          <w:pPr>
            <w:pStyle w:val="stBilgi"/>
          </w:pPr>
          <w:r w:rsidRPr="002310A9">
            <w:t>Revizyon Tarihi</w:t>
          </w:r>
        </w:p>
      </w:tc>
      <w:tc>
        <w:tcPr>
          <w:tcW w:w="1382" w:type="dxa"/>
          <w:shd w:val="clear" w:color="auto" w:fill="auto"/>
          <w:vAlign w:val="center"/>
        </w:tcPr>
        <w:p w14:paraId="5DD1073C" w14:textId="77777777" w:rsidR="002310A9" w:rsidRPr="002310A9" w:rsidRDefault="001215AC" w:rsidP="002310A9">
          <w:pPr>
            <w:pStyle w:val="stBilgi"/>
            <w:rPr>
              <w:b/>
            </w:rPr>
          </w:pPr>
          <w:r>
            <w:rPr>
              <w:b/>
            </w:rPr>
            <w:t>-</w:t>
          </w:r>
        </w:p>
      </w:tc>
    </w:tr>
    <w:tr w:rsidR="002310A9" w:rsidRPr="002310A9" w14:paraId="7C034B49" w14:textId="77777777" w:rsidTr="0068041A">
      <w:trPr>
        <w:trHeight w:val="276"/>
      </w:trPr>
      <w:tc>
        <w:tcPr>
          <w:tcW w:w="1526" w:type="dxa"/>
          <w:vMerge/>
          <w:shd w:val="clear" w:color="auto" w:fill="auto"/>
          <w:vAlign w:val="center"/>
        </w:tcPr>
        <w:p w14:paraId="64985543" w14:textId="77777777" w:rsidR="002310A9" w:rsidRPr="002310A9" w:rsidRDefault="002310A9" w:rsidP="002310A9">
          <w:pPr>
            <w:pStyle w:val="stBilgi"/>
          </w:pPr>
        </w:p>
      </w:tc>
      <w:tc>
        <w:tcPr>
          <w:tcW w:w="5386" w:type="dxa"/>
          <w:vMerge/>
          <w:shd w:val="clear" w:color="auto" w:fill="auto"/>
          <w:vAlign w:val="center"/>
        </w:tcPr>
        <w:p w14:paraId="430BEACB" w14:textId="77777777" w:rsidR="002310A9" w:rsidRPr="002310A9" w:rsidRDefault="002310A9" w:rsidP="002310A9">
          <w:pPr>
            <w:pStyle w:val="stBilgi"/>
          </w:pPr>
        </w:p>
      </w:tc>
      <w:tc>
        <w:tcPr>
          <w:tcW w:w="1560" w:type="dxa"/>
          <w:shd w:val="clear" w:color="auto" w:fill="auto"/>
          <w:vAlign w:val="center"/>
        </w:tcPr>
        <w:p w14:paraId="3B3B4676" w14:textId="77777777" w:rsidR="002310A9" w:rsidRPr="002310A9" w:rsidRDefault="002310A9" w:rsidP="002310A9">
          <w:pPr>
            <w:pStyle w:val="stBilgi"/>
          </w:pPr>
          <w:r w:rsidRPr="002310A9">
            <w:t>Revizyon No</w:t>
          </w:r>
        </w:p>
      </w:tc>
      <w:tc>
        <w:tcPr>
          <w:tcW w:w="1382" w:type="dxa"/>
          <w:shd w:val="clear" w:color="auto" w:fill="auto"/>
          <w:vAlign w:val="center"/>
        </w:tcPr>
        <w:p w14:paraId="6C0AF91A" w14:textId="7BBBF6B8" w:rsidR="002310A9" w:rsidRPr="002310A9" w:rsidRDefault="007D7BBB" w:rsidP="002310A9">
          <w:pPr>
            <w:pStyle w:val="stBilgi"/>
            <w:rPr>
              <w:b/>
            </w:rPr>
          </w:pPr>
          <w:r>
            <w:rPr>
              <w:b/>
            </w:rPr>
            <w:t>0</w:t>
          </w:r>
        </w:p>
      </w:tc>
    </w:tr>
    <w:tr w:rsidR="002310A9" w:rsidRPr="002310A9" w14:paraId="7C8733CD" w14:textId="77777777" w:rsidTr="0068041A">
      <w:trPr>
        <w:trHeight w:val="276"/>
      </w:trPr>
      <w:tc>
        <w:tcPr>
          <w:tcW w:w="1526" w:type="dxa"/>
          <w:vMerge/>
          <w:shd w:val="clear" w:color="auto" w:fill="auto"/>
          <w:vAlign w:val="center"/>
        </w:tcPr>
        <w:p w14:paraId="256C1EA4" w14:textId="77777777" w:rsidR="002310A9" w:rsidRPr="002310A9" w:rsidRDefault="002310A9" w:rsidP="002310A9">
          <w:pPr>
            <w:pStyle w:val="stBilgi"/>
          </w:pPr>
        </w:p>
      </w:tc>
      <w:tc>
        <w:tcPr>
          <w:tcW w:w="5386" w:type="dxa"/>
          <w:vMerge/>
          <w:shd w:val="clear" w:color="auto" w:fill="auto"/>
          <w:vAlign w:val="center"/>
        </w:tcPr>
        <w:p w14:paraId="3FE03B71" w14:textId="77777777" w:rsidR="002310A9" w:rsidRPr="002310A9" w:rsidRDefault="002310A9" w:rsidP="002310A9">
          <w:pPr>
            <w:pStyle w:val="stBilgi"/>
          </w:pPr>
        </w:p>
      </w:tc>
      <w:tc>
        <w:tcPr>
          <w:tcW w:w="1560" w:type="dxa"/>
          <w:shd w:val="clear" w:color="auto" w:fill="auto"/>
          <w:vAlign w:val="center"/>
        </w:tcPr>
        <w:p w14:paraId="18552AEE" w14:textId="77777777" w:rsidR="002310A9" w:rsidRPr="002310A9" w:rsidRDefault="002310A9" w:rsidP="002310A9">
          <w:pPr>
            <w:pStyle w:val="stBilgi"/>
          </w:pPr>
          <w:r w:rsidRPr="002310A9">
            <w:t>Sayfa</w:t>
          </w:r>
        </w:p>
      </w:tc>
      <w:tc>
        <w:tcPr>
          <w:tcW w:w="1382" w:type="dxa"/>
          <w:shd w:val="clear" w:color="auto" w:fill="auto"/>
          <w:vAlign w:val="center"/>
        </w:tcPr>
        <w:p w14:paraId="165CADE0" w14:textId="244923D1" w:rsidR="002310A9" w:rsidRPr="002310A9" w:rsidRDefault="001215AC" w:rsidP="002310A9">
          <w:pPr>
            <w:pStyle w:val="stBilgi"/>
            <w:rPr>
              <w:b/>
            </w:rPr>
          </w:pPr>
          <w:r>
            <w:rPr>
              <w:b/>
            </w:rPr>
            <w:fldChar w:fldCharType="begin"/>
          </w:r>
          <w:r>
            <w:rPr>
              <w:b/>
            </w:rPr>
            <w:instrText xml:space="preserve"> NUMPAGES   \* MERGEFORMAT </w:instrText>
          </w:r>
          <w:r>
            <w:rPr>
              <w:b/>
            </w:rPr>
            <w:fldChar w:fldCharType="separate"/>
          </w:r>
          <w:r w:rsidR="007D7BBB">
            <w:rPr>
              <w:b/>
              <w:noProof/>
            </w:rPr>
            <w:t>2</w:t>
          </w:r>
          <w:r>
            <w:rPr>
              <w:b/>
            </w:rPr>
            <w:fldChar w:fldCharType="end"/>
          </w:r>
          <w:r>
            <w:rPr>
              <w:b/>
            </w:rPr>
            <w:t>-</w:t>
          </w:r>
          <w:r>
            <w:rPr>
              <w:b/>
            </w:rPr>
            <w:fldChar w:fldCharType="begin"/>
          </w:r>
          <w:r>
            <w:rPr>
              <w:b/>
            </w:rPr>
            <w:instrText xml:space="preserve"> PAGE  \* Arabic  \* MERGEFORMAT </w:instrText>
          </w:r>
          <w:r>
            <w:rPr>
              <w:b/>
            </w:rPr>
            <w:fldChar w:fldCharType="separate"/>
          </w:r>
          <w:r w:rsidR="007D7BBB">
            <w:rPr>
              <w:b/>
              <w:noProof/>
            </w:rPr>
            <w:t>1</w:t>
          </w:r>
          <w:r>
            <w:rPr>
              <w:b/>
            </w:rPr>
            <w:fldChar w:fldCharType="end"/>
          </w:r>
        </w:p>
      </w:tc>
    </w:tr>
  </w:tbl>
  <w:p w14:paraId="69DB3FF9" w14:textId="77777777" w:rsidR="002310A9" w:rsidRDefault="002310A9">
    <w:pPr>
      <w:pStyle w:val="stBilgi"/>
    </w:pPr>
  </w:p>
  <w:p w14:paraId="1B322114" w14:textId="77777777"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1215AC"/>
    <w:rsid w:val="00137D9C"/>
    <w:rsid w:val="002310A9"/>
    <w:rsid w:val="0035176B"/>
    <w:rsid w:val="00464CD8"/>
    <w:rsid w:val="00523AA4"/>
    <w:rsid w:val="005E3619"/>
    <w:rsid w:val="006B350E"/>
    <w:rsid w:val="007D7BBB"/>
    <w:rsid w:val="0081180C"/>
    <w:rsid w:val="008E3A00"/>
    <w:rsid w:val="008E453B"/>
    <w:rsid w:val="00A16414"/>
    <w:rsid w:val="00BA3A37"/>
    <w:rsid w:val="00D662E8"/>
    <w:rsid w:val="00DE181B"/>
    <w:rsid w:val="00E903DF"/>
    <w:rsid w:val="00E91F81"/>
    <w:rsid w:val="00EA5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E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464C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CD8"/>
    <w:rPr>
      <w:rFonts w:ascii="Tahoma" w:hAnsi="Tahoma" w:cs="Tahoma"/>
      <w:sz w:val="16"/>
      <w:szCs w:val="16"/>
    </w:rPr>
  </w:style>
  <w:style w:type="paragraph" w:customStyle="1" w:styleId="Default">
    <w:name w:val="Default"/>
    <w:rsid w:val="00464C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4</cp:revision>
  <dcterms:created xsi:type="dcterms:W3CDTF">2017-12-13T13:38:00Z</dcterms:created>
  <dcterms:modified xsi:type="dcterms:W3CDTF">2018-06-18T08:37:00Z</dcterms:modified>
</cp:coreProperties>
</file>