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46C2" w14:textId="2ACD4DFF" w:rsidR="00E35C35" w:rsidRPr="003124FB" w:rsidRDefault="00115E22" w:rsidP="00B63AD3">
      <w:pPr>
        <w:pStyle w:val="Balk1"/>
        <w:spacing w:before="77"/>
        <w:ind w:left="1955" w:right="1940"/>
      </w:pPr>
      <w:r w:rsidRPr="003124FB">
        <w:t>LİSANSÜSTÜ YABANCI ÖĞRENCİ YÖNERGESİ</w:t>
      </w:r>
    </w:p>
    <w:p w14:paraId="192C5838" w14:textId="77777777" w:rsidR="00E35C35" w:rsidRPr="003124FB" w:rsidRDefault="00E35C35">
      <w:pPr>
        <w:pStyle w:val="GvdeMetni"/>
        <w:spacing w:before="1"/>
        <w:rPr>
          <w:b/>
        </w:rPr>
      </w:pPr>
    </w:p>
    <w:p w14:paraId="55412AB8" w14:textId="77777777" w:rsidR="00E35C35" w:rsidRPr="003124FB" w:rsidRDefault="00115E22">
      <w:pPr>
        <w:spacing w:before="1"/>
        <w:ind w:left="116" w:right="6576"/>
        <w:rPr>
          <w:b/>
          <w:sz w:val="24"/>
          <w:szCs w:val="24"/>
        </w:rPr>
      </w:pPr>
      <w:r w:rsidRPr="003124FB">
        <w:rPr>
          <w:b/>
          <w:sz w:val="24"/>
          <w:szCs w:val="24"/>
        </w:rPr>
        <w:t>Dayanak, Amaç, Kapsam Madde-1</w:t>
      </w:r>
    </w:p>
    <w:p w14:paraId="4010AE89" w14:textId="77777777" w:rsidR="00E35C35" w:rsidRPr="003124FB" w:rsidRDefault="00E35C35">
      <w:pPr>
        <w:pStyle w:val="GvdeMetni"/>
        <w:spacing w:before="5"/>
        <w:rPr>
          <w:b/>
        </w:rPr>
      </w:pPr>
    </w:p>
    <w:p w14:paraId="5B048181" w14:textId="77777777" w:rsidR="00E35C35" w:rsidRPr="003124FB" w:rsidRDefault="00115E22">
      <w:pPr>
        <w:pStyle w:val="GvdeMetni"/>
        <w:spacing w:before="1"/>
        <w:ind w:left="116" w:right="116"/>
        <w:jc w:val="both"/>
      </w:pPr>
      <w:r w:rsidRPr="003124FB">
        <w:t xml:space="preserve">Bu “Esaslar”; Gebze Teknik Üniversitesi (GTÜ) Lisansüstü Eğitim-Öğretim Yönetmeliği (Yönetmelik) uyarınca, </w:t>
      </w:r>
      <w:proofErr w:type="spellStart"/>
      <w:r w:rsidRPr="003124FB">
        <w:t>GTÜ’de</w:t>
      </w:r>
      <w:proofErr w:type="spellEnd"/>
      <w:r w:rsidRPr="003124FB">
        <w:t xml:space="preserve"> lisansüstü öğrenim görmek üzere başvuran yabancı uyruklu öğrencilerde aranacak kabul şartlarını belirlemek amacıyla düzenlenmiştir.</w:t>
      </w:r>
    </w:p>
    <w:p w14:paraId="56E9137E" w14:textId="77777777" w:rsidR="00E35C35" w:rsidRPr="003124FB" w:rsidRDefault="00E35C35">
      <w:pPr>
        <w:pStyle w:val="GvdeMetni"/>
        <w:spacing w:before="9"/>
      </w:pPr>
    </w:p>
    <w:p w14:paraId="469DBC9D" w14:textId="77777777" w:rsidR="00E35C35" w:rsidRPr="003124FB" w:rsidRDefault="00115E22">
      <w:pPr>
        <w:pStyle w:val="GvdeMetni"/>
        <w:ind w:left="116" w:right="119"/>
        <w:jc w:val="both"/>
      </w:pPr>
      <w:r w:rsidRPr="003124FB">
        <w:t>Enstitüler, gerektiğinde, Yönetmelik ve bu “Senato Esasları” çerçevesinde kalmak kaydıyla, ilave şartlar isteyebilirler.</w:t>
      </w:r>
    </w:p>
    <w:p w14:paraId="2C59A5D5" w14:textId="77777777" w:rsidR="00E35C35" w:rsidRPr="003124FB" w:rsidRDefault="00E35C35">
      <w:pPr>
        <w:pStyle w:val="GvdeMetni"/>
        <w:spacing w:before="1"/>
      </w:pPr>
    </w:p>
    <w:p w14:paraId="063BAB35" w14:textId="77777777" w:rsidR="00E35C35" w:rsidRPr="003124FB" w:rsidRDefault="00115E22">
      <w:pPr>
        <w:pStyle w:val="GvdeMetni"/>
        <w:ind w:left="116" w:right="116"/>
        <w:jc w:val="both"/>
      </w:pPr>
      <w:r w:rsidRPr="003124FB">
        <w:t>Bu “Esaslarda” belirtilmeyen hususlarda mevcut Yönetmelik hükümleri ve ilgili mevzuat uygulanır.</w:t>
      </w:r>
    </w:p>
    <w:p w14:paraId="3A23C707" w14:textId="77777777" w:rsidR="00E35C35" w:rsidRPr="003124FB" w:rsidRDefault="00E35C35">
      <w:pPr>
        <w:pStyle w:val="GvdeMetni"/>
        <w:spacing w:before="5"/>
      </w:pPr>
    </w:p>
    <w:p w14:paraId="099728EB" w14:textId="77777777" w:rsidR="00E35C35" w:rsidRPr="003124FB" w:rsidRDefault="00115E22">
      <w:pPr>
        <w:pStyle w:val="Balk1"/>
        <w:ind w:right="4994"/>
      </w:pPr>
      <w:r w:rsidRPr="003124FB">
        <w:t>Adaylardan İstenecek Öğrenim Belgeleri Madde-2</w:t>
      </w:r>
    </w:p>
    <w:p w14:paraId="07097CE4" w14:textId="77777777" w:rsidR="00E35C35" w:rsidRPr="003124FB" w:rsidRDefault="00E35C35">
      <w:pPr>
        <w:pStyle w:val="GvdeMetni"/>
        <w:spacing w:before="6"/>
        <w:rPr>
          <w:b/>
        </w:rPr>
      </w:pPr>
    </w:p>
    <w:p w14:paraId="1208EF2D" w14:textId="77777777" w:rsidR="00E35C35" w:rsidRPr="003124FB" w:rsidRDefault="00115E22">
      <w:pPr>
        <w:pStyle w:val="GvdeMetni"/>
        <w:ind w:left="116" w:right="116"/>
        <w:jc w:val="both"/>
      </w:pPr>
      <w:proofErr w:type="spellStart"/>
      <w:r w:rsidRPr="003124FB">
        <w:t>GTÜ’de</w:t>
      </w:r>
      <w:proofErr w:type="spellEnd"/>
      <w:r w:rsidRPr="003124FB">
        <w:t xml:space="preserve"> lisansüstü öğrenim görmek üzere başvuran yabancı uyruklu öğrencilerden, Türkiye’deki ikametleri için ilgili mevzuat gereği talep edilecek belgelerin dışında, adayların öğrenimi ile ilgili istenecek belgeler aşağıda belirtilmiştir:</w:t>
      </w:r>
    </w:p>
    <w:p w14:paraId="7BCC5B99" w14:textId="77777777" w:rsidR="00E35C35" w:rsidRPr="003124FB" w:rsidRDefault="00E35C35">
      <w:pPr>
        <w:pStyle w:val="GvdeMetni"/>
        <w:spacing w:before="10"/>
      </w:pPr>
    </w:p>
    <w:p w14:paraId="69E2FD02" w14:textId="77777777" w:rsidR="00E35C35" w:rsidRPr="003124FB" w:rsidRDefault="00115E22">
      <w:pPr>
        <w:pStyle w:val="ListeParagraf"/>
        <w:numPr>
          <w:ilvl w:val="0"/>
          <w:numId w:val="2"/>
        </w:numPr>
        <w:tabs>
          <w:tab w:val="left" w:pos="376"/>
        </w:tabs>
        <w:ind w:right="0" w:firstLine="0"/>
        <w:jc w:val="both"/>
        <w:rPr>
          <w:sz w:val="24"/>
          <w:szCs w:val="24"/>
        </w:rPr>
      </w:pPr>
      <w:r w:rsidRPr="003124FB">
        <w:rPr>
          <w:sz w:val="24"/>
          <w:szCs w:val="24"/>
        </w:rPr>
        <w:t>Başvuru formu.</w:t>
      </w:r>
    </w:p>
    <w:p w14:paraId="44111C74" w14:textId="77777777" w:rsidR="00E35C35" w:rsidRPr="003124FB" w:rsidRDefault="00E35C35">
      <w:pPr>
        <w:pStyle w:val="GvdeMetni"/>
        <w:spacing w:before="1"/>
      </w:pPr>
    </w:p>
    <w:p w14:paraId="5F7D691A" w14:textId="77777777" w:rsidR="00E35C35" w:rsidRPr="003124FB" w:rsidRDefault="00115E22">
      <w:pPr>
        <w:pStyle w:val="ListeParagraf"/>
        <w:numPr>
          <w:ilvl w:val="0"/>
          <w:numId w:val="2"/>
        </w:numPr>
        <w:tabs>
          <w:tab w:val="left" w:pos="468"/>
        </w:tabs>
        <w:ind w:right="114" w:firstLine="0"/>
        <w:jc w:val="both"/>
        <w:rPr>
          <w:sz w:val="24"/>
          <w:szCs w:val="24"/>
        </w:rPr>
      </w:pPr>
      <w:r w:rsidRPr="003124FB">
        <w:rPr>
          <w:sz w:val="24"/>
          <w:szCs w:val="24"/>
        </w:rPr>
        <w:t xml:space="preserve">YÜKSEK LİSANS için başvurulan programlara lisans, DOKTORA için başvurulan programlara yüksek lisans </w:t>
      </w:r>
      <w:r w:rsidRPr="003124FB">
        <w:rPr>
          <w:i/>
          <w:sz w:val="24"/>
          <w:szCs w:val="24"/>
        </w:rPr>
        <w:t xml:space="preserve">diploması </w:t>
      </w:r>
      <w:r w:rsidRPr="003124FB">
        <w:rPr>
          <w:sz w:val="24"/>
          <w:szCs w:val="24"/>
        </w:rPr>
        <w:t xml:space="preserve">ve </w:t>
      </w:r>
      <w:r w:rsidRPr="003124FB">
        <w:rPr>
          <w:b/>
          <w:sz w:val="24"/>
          <w:szCs w:val="24"/>
        </w:rPr>
        <w:t xml:space="preserve">onaylı Türkçe çevirisi </w:t>
      </w:r>
      <w:r w:rsidRPr="003124FB">
        <w:rPr>
          <w:sz w:val="24"/>
          <w:szCs w:val="24"/>
        </w:rPr>
        <w:t>(Yabancı ülke yükseköğretim kurumlarından alınmış diplomalar için Enstitü tarafından YÖK’e diploma uygunluğu sorulacaktır. YÖK'ün uygun görmesini takip eden ilk dönemde başvuru işleme</w:t>
      </w:r>
      <w:r w:rsidRPr="003124FB">
        <w:rPr>
          <w:spacing w:val="-24"/>
          <w:sz w:val="24"/>
          <w:szCs w:val="24"/>
        </w:rPr>
        <w:t xml:space="preserve"> </w:t>
      </w:r>
      <w:r w:rsidRPr="003124FB">
        <w:rPr>
          <w:sz w:val="24"/>
          <w:szCs w:val="24"/>
        </w:rPr>
        <w:t>konacaktır).</w:t>
      </w:r>
    </w:p>
    <w:p w14:paraId="6935F7EA" w14:textId="77777777" w:rsidR="00E35C35" w:rsidRPr="003124FB" w:rsidRDefault="00E35C35">
      <w:pPr>
        <w:pStyle w:val="GvdeMetni"/>
        <w:spacing w:before="2"/>
      </w:pPr>
    </w:p>
    <w:p w14:paraId="5674B44F" w14:textId="77777777" w:rsidR="00E35C35" w:rsidRPr="003124FB" w:rsidRDefault="00115E22">
      <w:pPr>
        <w:pStyle w:val="ListeParagraf"/>
        <w:numPr>
          <w:ilvl w:val="0"/>
          <w:numId w:val="2"/>
        </w:numPr>
        <w:tabs>
          <w:tab w:val="left" w:pos="414"/>
        </w:tabs>
        <w:ind w:firstLine="0"/>
        <w:jc w:val="both"/>
        <w:rPr>
          <w:sz w:val="24"/>
          <w:szCs w:val="24"/>
        </w:rPr>
      </w:pPr>
      <w:r w:rsidRPr="003124FB">
        <w:rPr>
          <w:sz w:val="24"/>
          <w:szCs w:val="24"/>
        </w:rPr>
        <w:t xml:space="preserve">Tamamlanmış lisans ve yüksek lisans programlarının transkripti İngilizce veya Türkçe değilse, İngilizceye çevrilmiş </w:t>
      </w:r>
      <w:r w:rsidRPr="003124FB">
        <w:rPr>
          <w:b/>
          <w:sz w:val="24"/>
          <w:szCs w:val="24"/>
        </w:rPr>
        <w:t xml:space="preserve">onaylı </w:t>
      </w:r>
      <w:r w:rsidRPr="003124FB">
        <w:rPr>
          <w:sz w:val="24"/>
          <w:szCs w:val="24"/>
        </w:rPr>
        <w:t>transkript belgesi (Transkript belgesi Türkçe ise çeviri yapılmasına gerek</w:t>
      </w:r>
      <w:r w:rsidRPr="003124FB">
        <w:rPr>
          <w:spacing w:val="6"/>
          <w:sz w:val="24"/>
          <w:szCs w:val="24"/>
        </w:rPr>
        <w:t xml:space="preserve"> </w:t>
      </w:r>
      <w:r w:rsidRPr="003124FB">
        <w:rPr>
          <w:sz w:val="24"/>
          <w:szCs w:val="24"/>
        </w:rPr>
        <w:t>yoktur).</w:t>
      </w:r>
    </w:p>
    <w:p w14:paraId="56360E8B" w14:textId="77777777" w:rsidR="00E35C35" w:rsidRPr="003124FB" w:rsidRDefault="00E35C35">
      <w:pPr>
        <w:pStyle w:val="GvdeMetni"/>
        <w:spacing w:before="10"/>
      </w:pPr>
    </w:p>
    <w:p w14:paraId="72D8CE26" w14:textId="77777777" w:rsidR="00E35C35" w:rsidRPr="003124FB" w:rsidRDefault="00115E22">
      <w:pPr>
        <w:pStyle w:val="ListeParagraf"/>
        <w:numPr>
          <w:ilvl w:val="0"/>
          <w:numId w:val="2"/>
        </w:numPr>
        <w:tabs>
          <w:tab w:val="left" w:pos="431"/>
        </w:tabs>
        <w:ind w:right="114" w:firstLine="0"/>
        <w:jc w:val="both"/>
        <w:rPr>
          <w:sz w:val="24"/>
          <w:szCs w:val="24"/>
        </w:rPr>
      </w:pPr>
      <w:r w:rsidRPr="003124FB">
        <w:rPr>
          <w:sz w:val="24"/>
          <w:szCs w:val="24"/>
        </w:rPr>
        <w:t>Adayların başvurdukları program türünün T.C. uyruklu öğrenciler için ilan edilen giriş sınavları ilanında belirtilen ALES puan şartını sağlamaları gerekir. Bu kapsamda ALES belgesi yerine GRE/GMAT sınav sonuçları da</w:t>
      </w:r>
      <w:r w:rsidRPr="003124FB">
        <w:rPr>
          <w:spacing w:val="1"/>
          <w:sz w:val="24"/>
          <w:szCs w:val="24"/>
        </w:rPr>
        <w:t xml:space="preserve"> </w:t>
      </w:r>
      <w:r w:rsidRPr="003124FB">
        <w:rPr>
          <w:sz w:val="24"/>
          <w:szCs w:val="24"/>
        </w:rPr>
        <w:t>geçerlidir.</w:t>
      </w:r>
    </w:p>
    <w:p w14:paraId="026977FA" w14:textId="77777777" w:rsidR="00E35C35" w:rsidRPr="003124FB" w:rsidRDefault="00E35C35">
      <w:pPr>
        <w:pStyle w:val="GvdeMetni"/>
        <w:spacing w:before="1"/>
      </w:pPr>
    </w:p>
    <w:p w14:paraId="232C6227" w14:textId="77777777" w:rsidR="00E35C35" w:rsidRPr="003124FB" w:rsidRDefault="00115E22">
      <w:pPr>
        <w:pStyle w:val="GvdeMetni"/>
        <w:ind w:left="116" w:right="113"/>
        <w:jc w:val="both"/>
        <w:rPr>
          <w:b/>
        </w:rPr>
      </w:pPr>
      <w:r w:rsidRPr="003124FB">
        <w:t xml:space="preserve">Ayrıca yüksek lisans öğrenimini tamamladıktan sonra en fazla bir yarıyıl ara vererek doktora veya başka bir yüksek lisans programına başvuran adaylar ile, yüksek lisans öğrenimine başladıktan sonra kayıtlarının silinmesi sebebiyle öğrenimine en fazla bir yarıyıl ara veren adayların önceki ALES veya eş değeri belgeleri geçerlidir. </w:t>
      </w:r>
      <w:r w:rsidRPr="003124FB">
        <w:rPr>
          <w:b/>
        </w:rPr>
        <w:t>(değişiklik: 07 Kasım 2013 tarih ve 2013/34-02 sayılı senato kararı)</w:t>
      </w:r>
    </w:p>
    <w:p w14:paraId="78BE2BB6" w14:textId="77777777" w:rsidR="00E35C35" w:rsidRPr="003124FB" w:rsidRDefault="00E35C35">
      <w:pPr>
        <w:pStyle w:val="GvdeMetni"/>
        <w:rPr>
          <w:b/>
        </w:rPr>
      </w:pPr>
    </w:p>
    <w:p w14:paraId="329FE924" w14:textId="77777777" w:rsidR="00E35C35" w:rsidRPr="003124FB" w:rsidRDefault="00E35C35">
      <w:pPr>
        <w:pStyle w:val="GvdeMetni"/>
        <w:rPr>
          <w:b/>
        </w:rPr>
      </w:pPr>
    </w:p>
    <w:p w14:paraId="3BBFE604" w14:textId="77777777" w:rsidR="00E35C35" w:rsidRPr="003124FB" w:rsidRDefault="00115E22">
      <w:pPr>
        <w:pStyle w:val="ListeParagraf"/>
        <w:numPr>
          <w:ilvl w:val="0"/>
          <w:numId w:val="2"/>
        </w:numPr>
        <w:tabs>
          <w:tab w:val="left" w:pos="366"/>
        </w:tabs>
        <w:ind w:right="116" w:firstLine="0"/>
        <w:jc w:val="both"/>
        <w:rPr>
          <w:sz w:val="24"/>
          <w:szCs w:val="24"/>
        </w:rPr>
      </w:pPr>
      <w:r w:rsidRPr="003124FB">
        <w:rPr>
          <w:sz w:val="24"/>
          <w:szCs w:val="24"/>
        </w:rPr>
        <w:t>-Tüm adaylar T.C. uyruklu öğrenciler için ilan edilen YÜKSEK LİSANS/DOKTORA giriş sınavındaki İngilizce dil şartını sağlamakla yükümlüdür.</w:t>
      </w:r>
    </w:p>
    <w:p w14:paraId="4BE7FC6C" w14:textId="77777777" w:rsidR="00E35C35" w:rsidRPr="003124FB" w:rsidRDefault="00115E22">
      <w:pPr>
        <w:pStyle w:val="GvdeMetni"/>
        <w:ind w:left="116" w:right="119"/>
        <w:jc w:val="both"/>
      </w:pPr>
      <w:r w:rsidRPr="003124FB">
        <w:t xml:space="preserve">- % 30 İngilizce eğitim yapılan anabilim dallarında, aday Türkçe ders/dersler almak istiyorsa, </w:t>
      </w:r>
      <w:r w:rsidRPr="003124FB">
        <w:lastRenderedPageBreak/>
        <w:t>TÖMER sertifikası edinmesi gerekmektedir.</w:t>
      </w:r>
    </w:p>
    <w:p w14:paraId="1DCB9454" w14:textId="77777777" w:rsidR="00E35C35" w:rsidRPr="003124FB" w:rsidRDefault="00115E22">
      <w:pPr>
        <w:spacing w:before="70"/>
        <w:ind w:left="116"/>
        <w:rPr>
          <w:b/>
          <w:sz w:val="24"/>
          <w:szCs w:val="24"/>
        </w:rPr>
      </w:pPr>
      <w:r w:rsidRPr="003124FB">
        <w:rPr>
          <w:sz w:val="24"/>
          <w:szCs w:val="24"/>
        </w:rPr>
        <w:t xml:space="preserve">İlgili anabilim dalında sadece Türkçe eğitim yapılıyorsa adayın TÖMER sertifikası edinmesi gerekmektedir. </w:t>
      </w:r>
      <w:r w:rsidRPr="003124FB">
        <w:rPr>
          <w:b/>
          <w:sz w:val="24"/>
          <w:szCs w:val="24"/>
        </w:rPr>
        <w:t>(değişiklik: 07 Kasım 2013 tarih ve 2013/34-02 sayılı senato kararı)</w:t>
      </w:r>
    </w:p>
    <w:p w14:paraId="26060CDF" w14:textId="77777777" w:rsidR="00E35C35" w:rsidRPr="003124FB" w:rsidRDefault="00115E22">
      <w:pPr>
        <w:pStyle w:val="Balk1"/>
        <w:numPr>
          <w:ilvl w:val="0"/>
          <w:numId w:val="2"/>
        </w:numPr>
        <w:tabs>
          <w:tab w:val="left" w:pos="339"/>
        </w:tabs>
        <w:spacing w:before="10" w:line="550" w:lineRule="atLeast"/>
        <w:ind w:right="2812" w:firstLine="0"/>
      </w:pPr>
      <w:r w:rsidRPr="003124FB">
        <w:t>Mülga (07.11.2013 tarih ve 2013/34-02 sayılı Senato</w:t>
      </w:r>
      <w:r w:rsidRPr="003124FB">
        <w:rPr>
          <w:spacing w:val="-22"/>
        </w:rPr>
        <w:t xml:space="preserve"> </w:t>
      </w:r>
      <w:r w:rsidRPr="003124FB">
        <w:t>Kararı.) Diğer Şartlar</w:t>
      </w:r>
    </w:p>
    <w:p w14:paraId="51287CE2" w14:textId="77777777" w:rsidR="00E35C35" w:rsidRPr="003124FB" w:rsidRDefault="00115E22">
      <w:pPr>
        <w:spacing w:before="3"/>
        <w:ind w:left="116"/>
        <w:rPr>
          <w:b/>
          <w:sz w:val="24"/>
          <w:szCs w:val="24"/>
        </w:rPr>
      </w:pPr>
      <w:r w:rsidRPr="003124FB">
        <w:rPr>
          <w:b/>
          <w:sz w:val="24"/>
          <w:szCs w:val="24"/>
        </w:rPr>
        <w:t>Madde-3</w:t>
      </w:r>
    </w:p>
    <w:p w14:paraId="194BDAF2" w14:textId="77777777" w:rsidR="00E35C35" w:rsidRPr="003124FB" w:rsidRDefault="00E35C35">
      <w:pPr>
        <w:pStyle w:val="GvdeMetni"/>
        <w:spacing w:before="2"/>
        <w:rPr>
          <w:b/>
        </w:rPr>
      </w:pPr>
    </w:p>
    <w:p w14:paraId="0E1B3E86" w14:textId="77777777" w:rsidR="00E35C35" w:rsidRPr="003124FB" w:rsidRDefault="00115E22">
      <w:pPr>
        <w:pStyle w:val="ListeParagraf"/>
        <w:numPr>
          <w:ilvl w:val="0"/>
          <w:numId w:val="1"/>
        </w:numPr>
        <w:tabs>
          <w:tab w:val="left" w:pos="434"/>
        </w:tabs>
        <w:ind w:right="117" w:firstLine="0"/>
        <w:jc w:val="both"/>
        <w:rPr>
          <w:sz w:val="24"/>
          <w:szCs w:val="24"/>
        </w:rPr>
      </w:pPr>
      <w:r w:rsidRPr="003124FB">
        <w:rPr>
          <w:sz w:val="24"/>
          <w:szCs w:val="24"/>
        </w:rPr>
        <w:t xml:space="preserve">Yabancı uyruklu öğrenci kontenjanı, ön görülen YÜKSEK LİSANS ve DOKTORA programları için ilan edilmiş T.C. uyruklu öğrenci kontenjanının % 20’sini aşmayacak sayıda </w:t>
      </w:r>
      <w:bookmarkStart w:id="0" w:name="_GoBack"/>
      <w:bookmarkEnd w:id="0"/>
      <w:r w:rsidRPr="003124FB">
        <w:rPr>
          <w:sz w:val="24"/>
          <w:szCs w:val="24"/>
        </w:rPr>
        <w:t>belirlenir.</w:t>
      </w:r>
    </w:p>
    <w:p w14:paraId="463A4E88" w14:textId="77777777" w:rsidR="00E35C35" w:rsidRPr="003124FB" w:rsidRDefault="00E35C35">
      <w:pPr>
        <w:pStyle w:val="GvdeMetni"/>
        <w:spacing w:before="2"/>
      </w:pPr>
    </w:p>
    <w:p w14:paraId="45E3858E" w14:textId="77777777" w:rsidR="00E35C35" w:rsidRPr="003124FB" w:rsidRDefault="00115E22">
      <w:pPr>
        <w:pStyle w:val="ListeParagraf"/>
        <w:numPr>
          <w:ilvl w:val="0"/>
          <w:numId w:val="1"/>
        </w:numPr>
        <w:tabs>
          <w:tab w:val="left" w:pos="383"/>
        </w:tabs>
        <w:ind w:firstLine="0"/>
        <w:rPr>
          <w:sz w:val="24"/>
          <w:szCs w:val="24"/>
        </w:rPr>
      </w:pPr>
      <w:r w:rsidRPr="003124FB">
        <w:rPr>
          <w:sz w:val="24"/>
          <w:szCs w:val="24"/>
        </w:rPr>
        <w:t>Adaylar; diplomaları başvurulan programa uygun olmak kaydıyla, YÜKSEK LİSANS ve DOKTORA programları için en çok 2 program tercihi</w:t>
      </w:r>
      <w:r w:rsidRPr="003124FB">
        <w:rPr>
          <w:spacing w:val="8"/>
          <w:sz w:val="24"/>
          <w:szCs w:val="24"/>
        </w:rPr>
        <w:t xml:space="preserve"> </w:t>
      </w:r>
      <w:r w:rsidRPr="003124FB">
        <w:rPr>
          <w:sz w:val="24"/>
          <w:szCs w:val="24"/>
        </w:rPr>
        <w:t>yapabilirler.</w:t>
      </w:r>
    </w:p>
    <w:p w14:paraId="448783BC" w14:textId="77777777" w:rsidR="00E35C35" w:rsidRPr="003124FB" w:rsidRDefault="00E35C35">
      <w:pPr>
        <w:pStyle w:val="GvdeMetni"/>
        <w:spacing w:before="9"/>
      </w:pPr>
    </w:p>
    <w:p w14:paraId="1DD59366" w14:textId="77777777" w:rsidR="00E35C35" w:rsidRPr="003124FB" w:rsidRDefault="00115E22">
      <w:pPr>
        <w:pStyle w:val="ListeParagraf"/>
        <w:numPr>
          <w:ilvl w:val="0"/>
          <w:numId w:val="1"/>
        </w:numPr>
        <w:tabs>
          <w:tab w:val="left" w:pos="472"/>
        </w:tabs>
        <w:ind w:right="112" w:firstLine="0"/>
        <w:rPr>
          <w:sz w:val="24"/>
          <w:szCs w:val="24"/>
        </w:rPr>
      </w:pPr>
      <w:r w:rsidRPr="003124FB">
        <w:rPr>
          <w:sz w:val="24"/>
          <w:szCs w:val="24"/>
        </w:rPr>
        <w:t>Eğitim-öğretim açısından yabancı uyruklu öğrenciler de T.C. uyruklu öğrencilere uygulanan Yönetmeliğe tabidirler.</w:t>
      </w:r>
    </w:p>
    <w:p w14:paraId="25846A33" w14:textId="77777777" w:rsidR="00E35C35" w:rsidRPr="003124FB" w:rsidRDefault="00E35C35">
      <w:pPr>
        <w:pStyle w:val="GvdeMetni"/>
        <w:spacing w:before="1"/>
      </w:pPr>
    </w:p>
    <w:p w14:paraId="63EAFE91" w14:textId="77777777" w:rsidR="00E35C35" w:rsidRPr="003124FB" w:rsidRDefault="00115E22">
      <w:pPr>
        <w:pStyle w:val="ListeParagraf"/>
        <w:numPr>
          <w:ilvl w:val="0"/>
          <w:numId w:val="1"/>
        </w:numPr>
        <w:tabs>
          <w:tab w:val="left" w:pos="444"/>
        </w:tabs>
        <w:spacing w:before="1"/>
        <w:ind w:firstLine="0"/>
        <w:rPr>
          <w:sz w:val="24"/>
          <w:szCs w:val="24"/>
        </w:rPr>
      </w:pPr>
      <w:r w:rsidRPr="003124FB">
        <w:rPr>
          <w:sz w:val="24"/>
          <w:szCs w:val="24"/>
        </w:rPr>
        <w:t>Başvurusu kabul edilenlerin kayıt işlemleri vb. hususlar GTÜ Öğrenci İşleri Daire Başkanlığı tarafından gerçekleştirilir. Öğrenci vizesi bulunmayan öğrencinin kaydı</w:t>
      </w:r>
      <w:r w:rsidRPr="003124FB">
        <w:rPr>
          <w:spacing w:val="-28"/>
          <w:sz w:val="24"/>
          <w:szCs w:val="24"/>
        </w:rPr>
        <w:t xml:space="preserve"> </w:t>
      </w:r>
      <w:r w:rsidRPr="003124FB">
        <w:rPr>
          <w:sz w:val="24"/>
          <w:szCs w:val="24"/>
        </w:rPr>
        <w:t>yapılmaz.</w:t>
      </w:r>
    </w:p>
    <w:p w14:paraId="4934EAED" w14:textId="77777777" w:rsidR="00E35C35" w:rsidRPr="003124FB" w:rsidRDefault="00E35C35">
      <w:pPr>
        <w:pStyle w:val="GvdeMetni"/>
      </w:pPr>
    </w:p>
    <w:p w14:paraId="0E254F4E" w14:textId="77777777" w:rsidR="00E35C35" w:rsidRPr="003124FB" w:rsidRDefault="00115E22">
      <w:pPr>
        <w:pStyle w:val="ListeParagraf"/>
        <w:numPr>
          <w:ilvl w:val="0"/>
          <w:numId w:val="1"/>
        </w:numPr>
        <w:tabs>
          <w:tab w:val="left" w:pos="369"/>
        </w:tabs>
        <w:spacing w:before="1"/>
        <w:ind w:right="116" w:firstLine="0"/>
        <w:rPr>
          <w:sz w:val="24"/>
          <w:szCs w:val="24"/>
        </w:rPr>
      </w:pPr>
      <w:r w:rsidRPr="003124FB">
        <w:rPr>
          <w:sz w:val="24"/>
          <w:szCs w:val="24"/>
        </w:rPr>
        <w:t>Kayıt hakkını kazanan adaylardan, ilan edilecek kayıt süresi içinde kaydını yaptırmayanlar kayıt hakkını</w:t>
      </w:r>
      <w:r w:rsidRPr="003124FB">
        <w:rPr>
          <w:spacing w:val="-3"/>
          <w:sz w:val="24"/>
          <w:szCs w:val="24"/>
        </w:rPr>
        <w:t xml:space="preserve"> </w:t>
      </w:r>
      <w:r w:rsidRPr="003124FB">
        <w:rPr>
          <w:sz w:val="24"/>
          <w:szCs w:val="24"/>
        </w:rPr>
        <w:t>kaybederler.</w:t>
      </w:r>
    </w:p>
    <w:p w14:paraId="48602892" w14:textId="77777777" w:rsidR="00E35C35" w:rsidRPr="003124FB" w:rsidRDefault="00115E22">
      <w:pPr>
        <w:pStyle w:val="Balk1"/>
        <w:spacing w:before="4"/>
        <w:ind w:right="8204"/>
      </w:pPr>
      <w:r w:rsidRPr="003124FB">
        <w:rPr>
          <w:w w:val="95"/>
        </w:rPr>
        <w:t xml:space="preserve">Yürürlük </w:t>
      </w:r>
      <w:r w:rsidRPr="003124FB">
        <w:t>Madde-4</w:t>
      </w:r>
    </w:p>
    <w:p w14:paraId="2C013C96" w14:textId="77777777" w:rsidR="00E35C35" w:rsidRPr="003124FB" w:rsidRDefault="00115E22">
      <w:pPr>
        <w:pStyle w:val="GvdeMetni"/>
        <w:spacing w:line="270" w:lineRule="exact"/>
        <w:ind w:left="116"/>
      </w:pPr>
      <w:r w:rsidRPr="003124FB">
        <w:t>Bu “Esaslar” Senato’ da kabul edildiği tarihte yürürlüğe girer.</w:t>
      </w:r>
    </w:p>
    <w:p w14:paraId="467E0E46" w14:textId="77777777" w:rsidR="00E35C35" w:rsidRPr="003124FB" w:rsidRDefault="00E35C35">
      <w:pPr>
        <w:pStyle w:val="GvdeMetni"/>
        <w:spacing w:before="7"/>
      </w:pPr>
    </w:p>
    <w:p w14:paraId="6CF66DB7" w14:textId="77777777" w:rsidR="00E35C35" w:rsidRPr="003124FB" w:rsidRDefault="00115E22">
      <w:pPr>
        <w:pStyle w:val="Balk1"/>
        <w:ind w:right="8259"/>
      </w:pPr>
      <w:r w:rsidRPr="003124FB">
        <w:rPr>
          <w:w w:val="95"/>
        </w:rPr>
        <w:t xml:space="preserve">Yürütme </w:t>
      </w:r>
      <w:r w:rsidRPr="003124FB">
        <w:t>Madde-5</w:t>
      </w:r>
    </w:p>
    <w:p w14:paraId="44DC00F6" w14:textId="77777777" w:rsidR="00E35C35" w:rsidRPr="003124FB" w:rsidRDefault="00115E22">
      <w:pPr>
        <w:pStyle w:val="GvdeMetni"/>
        <w:spacing w:line="270" w:lineRule="exact"/>
        <w:ind w:left="116"/>
        <w:jc w:val="both"/>
      </w:pPr>
      <w:r w:rsidRPr="003124FB">
        <w:t>Bu “Esasları” GTÜ Rektörlüğü yürütür.</w:t>
      </w:r>
    </w:p>
    <w:p w14:paraId="471DC465" w14:textId="77777777" w:rsidR="00E35C35" w:rsidRPr="003124FB" w:rsidRDefault="00E35C35">
      <w:pPr>
        <w:pStyle w:val="GvdeMetni"/>
      </w:pPr>
    </w:p>
    <w:p w14:paraId="5C04272A" w14:textId="77777777" w:rsidR="00E35C35" w:rsidRPr="003124FB" w:rsidRDefault="00E35C35">
      <w:pPr>
        <w:pStyle w:val="GvdeMetni"/>
        <w:spacing w:before="8"/>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3600"/>
        <w:gridCol w:w="3600"/>
      </w:tblGrid>
      <w:tr w:rsidR="00E35C35" w:rsidRPr="003124FB" w14:paraId="2C0144EA" w14:textId="77777777">
        <w:trPr>
          <w:trHeight w:val="276"/>
        </w:trPr>
        <w:tc>
          <w:tcPr>
            <w:tcW w:w="635" w:type="dxa"/>
            <w:vMerge w:val="restart"/>
          </w:tcPr>
          <w:p w14:paraId="265F533F" w14:textId="77777777" w:rsidR="00E35C35" w:rsidRPr="003124FB" w:rsidRDefault="00E35C35">
            <w:pPr>
              <w:pStyle w:val="TableParagraph"/>
              <w:spacing w:line="240" w:lineRule="auto"/>
              <w:ind w:left="0"/>
              <w:jc w:val="left"/>
              <w:rPr>
                <w:sz w:val="24"/>
                <w:szCs w:val="24"/>
              </w:rPr>
            </w:pPr>
          </w:p>
        </w:tc>
        <w:tc>
          <w:tcPr>
            <w:tcW w:w="7200" w:type="dxa"/>
            <w:gridSpan w:val="2"/>
          </w:tcPr>
          <w:p w14:paraId="32095B53" w14:textId="77777777" w:rsidR="00E35C35" w:rsidRPr="003124FB" w:rsidRDefault="00115E22">
            <w:pPr>
              <w:pStyle w:val="TableParagraph"/>
              <w:ind w:left="1451"/>
              <w:jc w:val="left"/>
              <w:rPr>
                <w:b/>
                <w:sz w:val="24"/>
                <w:szCs w:val="24"/>
              </w:rPr>
            </w:pPr>
            <w:r w:rsidRPr="003124FB">
              <w:rPr>
                <w:b/>
                <w:sz w:val="24"/>
                <w:szCs w:val="24"/>
              </w:rPr>
              <w:t>Yönergenin Kabul Edildiği Senato Kararı</w:t>
            </w:r>
          </w:p>
        </w:tc>
      </w:tr>
      <w:tr w:rsidR="00E35C35" w:rsidRPr="003124FB" w14:paraId="169AB12D" w14:textId="77777777">
        <w:trPr>
          <w:trHeight w:val="276"/>
        </w:trPr>
        <w:tc>
          <w:tcPr>
            <w:tcW w:w="635" w:type="dxa"/>
            <w:vMerge/>
            <w:tcBorders>
              <w:top w:val="nil"/>
            </w:tcBorders>
          </w:tcPr>
          <w:p w14:paraId="47BD7C9B" w14:textId="77777777" w:rsidR="00E35C35" w:rsidRPr="003124FB" w:rsidRDefault="00E35C35">
            <w:pPr>
              <w:rPr>
                <w:sz w:val="24"/>
                <w:szCs w:val="24"/>
              </w:rPr>
            </w:pPr>
          </w:p>
        </w:tc>
        <w:tc>
          <w:tcPr>
            <w:tcW w:w="3600" w:type="dxa"/>
          </w:tcPr>
          <w:p w14:paraId="4B62179B" w14:textId="77777777" w:rsidR="00E35C35" w:rsidRPr="003124FB" w:rsidRDefault="00115E22">
            <w:pPr>
              <w:pStyle w:val="TableParagraph"/>
              <w:ind w:right="1229"/>
              <w:rPr>
                <w:b/>
                <w:sz w:val="24"/>
                <w:szCs w:val="24"/>
              </w:rPr>
            </w:pPr>
            <w:r w:rsidRPr="003124FB">
              <w:rPr>
                <w:b/>
                <w:sz w:val="24"/>
                <w:szCs w:val="24"/>
              </w:rPr>
              <w:t>Tarihi</w:t>
            </w:r>
          </w:p>
        </w:tc>
        <w:tc>
          <w:tcPr>
            <w:tcW w:w="3600" w:type="dxa"/>
          </w:tcPr>
          <w:p w14:paraId="0D307239" w14:textId="77777777" w:rsidR="00E35C35" w:rsidRPr="003124FB" w:rsidRDefault="00115E22">
            <w:pPr>
              <w:pStyle w:val="TableParagraph"/>
              <w:ind w:right="1229"/>
              <w:rPr>
                <w:b/>
                <w:sz w:val="24"/>
                <w:szCs w:val="24"/>
              </w:rPr>
            </w:pPr>
            <w:r w:rsidRPr="003124FB">
              <w:rPr>
                <w:b/>
                <w:sz w:val="24"/>
                <w:szCs w:val="24"/>
              </w:rPr>
              <w:t>Sayısı</w:t>
            </w:r>
          </w:p>
        </w:tc>
      </w:tr>
      <w:tr w:rsidR="00E35C35" w:rsidRPr="003124FB" w14:paraId="6F077A59" w14:textId="77777777">
        <w:trPr>
          <w:trHeight w:val="276"/>
        </w:trPr>
        <w:tc>
          <w:tcPr>
            <w:tcW w:w="635" w:type="dxa"/>
            <w:vMerge/>
            <w:tcBorders>
              <w:top w:val="nil"/>
            </w:tcBorders>
          </w:tcPr>
          <w:p w14:paraId="478BD53A" w14:textId="77777777" w:rsidR="00E35C35" w:rsidRPr="003124FB" w:rsidRDefault="00E35C35">
            <w:pPr>
              <w:rPr>
                <w:sz w:val="24"/>
                <w:szCs w:val="24"/>
              </w:rPr>
            </w:pPr>
          </w:p>
        </w:tc>
        <w:tc>
          <w:tcPr>
            <w:tcW w:w="3600" w:type="dxa"/>
          </w:tcPr>
          <w:p w14:paraId="5A7FEFA8" w14:textId="77777777" w:rsidR="00E35C35" w:rsidRPr="003124FB" w:rsidRDefault="00115E22">
            <w:pPr>
              <w:pStyle w:val="TableParagraph"/>
              <w:ind w:right="1234"/>
              <w:rPr>
                <w:sz w:val="24"/>
                <w:szCs w:val="24"/>
              </w:rPr>
            </w:pPr>
            <w:r w:rsidRPr="003124FB">
              <w:rPr>
                <w:sz w:val="24"/>
                <w:szCs w:val="24"/>
              </w:rPr>
              <w:t>31.07.2013</w:t>
            </w:r>
          </w:p>
        </w:tc>
        <w:tc>
          <w:tcPr>
            <w:tcW w:w="3600" w:type="dxa"/>
          </w:tcPr>
          <w:p w14:paraId="7919D4D9" w14:textId="77777777" w:rsidR="00E35C35" w:rsidRPr="003124FB" w:rsidRDefault="00115E22">
            <w:pPr>
              <w:pStyle w:val="TableParagraph"/>
              <w:ind w:right="1234"/>
              <w:rPr>
                <w:sz w:val="24"/>
                <w:szCs w:val="24"/>
              </w:rPr>
            </w:pPr>
            <w:r w:rsidRPr="003124FB">
              <w:rPr>
                <w:sz w:val="24"/>
                <w:szCs w:val="24"/>
              </w:rPr>
              <w:t>2013/23</w:t>
            </w:r>
          </w:p>
        </w:tc>
      </w:tr>
      <w:tr w:rsidR="00E35C35" w:rsidRPr="003124FB" w14:paraId="2AA8D2CC" w14:textId="77777777">
        <w:trPr>
          <w:trHeight w:val="276"/>
        </w:trPr>
        <w:tc>
          <w:tcPr>
            <w:tcW w:w="635" w:type="dxa"/>
          </w:tcPr>
          <w:p w14:paraId="0CED895E" w14:textId="77777777" w:rsidR="00E35C35" w:rsidRPr="003124FB" w:rsidRDefault="00E35C35">
            <w:pPr>
              <w:pStyle w:val="TableParagraph"/>
              <w:spacing w:line="240" w:lineRule="auto"/>
              <w:ind w:left="0"/>
              <w:jc w:val="left"/>
              <w:rPr>
                <w:sz w:val="24"/>
                <w:szCs w:val="24"/>
              </w:rPr>
            </w:pPr>
          </w:p>
        </w:tc>
        <w:tc>
          <w:tcPr>
            <w:tcW w:w="7200" w:type="dxa"/>
            <w:gridSpan w:val="2"/>
          </w:tcPr>
          <w:p w14:paraId="0FBB9752" w14:textId="77777777" w:rsidR="00E35C35" w:rsidRPr="003124FB" w:rsidRDefault="00115E22">
            <w:pPr>
              <w:pStyle w:val="TableParagraph"/>
              <w:ind w:left="1226"/>
              <w:jc w:val="left"/>
              <w:rPr>
                <w:b/>
                <w:sz w:val="24"/>
                <w:szCs w:val="24"/>
              </w:rPr>
            </w:pPr>
            <w:r w:rsidRPr="003124FB">
              <w:rPr>
                <w:b/>
                <w:sz w:val="24"/>
                <w:szCs w:val="24"/>
              </w:rPr>
              <w:t>Yönergede Değişiklik Yapan Senato Kararları</w:t>
            </w:r>
          </w:p>
        </w:tc>
      </w:tr>
      <w:tr w:rsidR="00E35C35" w:rsidRPr="003124FB" w14:paraId="09D2D048" w14:textId="77777777">
        <w:trPr>
          <w:trHeight w:val="273"/>
        </w:trPr>
        <w:tc>
          <w:tcPr>
            <w:tcW w:w="635" w:type="dxa"/>
          </w:tcPr>
          <w:p w14:paraId="29ABA3D1" w14:textId="77777777" w:rsidR="00E35C35" w:rsidRPr="003124FB" w:rsidRDefault="00E35C35">
            <w:pPr>
              <w:pStyle w:val="TableParagraph"/>
              <w:spacing w:line="240" w:lineRule="auto"/>
              <w:ind w:left="0"/>
              <w:jc w:val="left"/>
              <w:rPr>
                <w:sz w:val="24"/>
                <w:szCs w:val="24"/>
              </w:rPr>
            </w:pPr>
          </w:p>
        </w:tc>
        <w:tc>
          <w:tcPr>
            <w:tcW w:w="3600" w:type="dxa"/>
          </w:tcPr>
          <w:p w14:paraId="38B85C3F" w14:textId="77777777" w:rsidR="00E35C35" w:rsidRPr="003124FB" w:rsidRDefault="00115E22">
            <w:pPr>
              <w:pStyle w:val="TableParagraph"/>
              <w:spacing w:line="253" w:lineRule="exact"/>
              <w:ind w:right="1234"/>
              <w:rPr>
                <w:sz w:val="24"/>
                <w:szCs w:val="24"/>
              </w:rPr>
            </w:pPr>
            <w:r w:rsidRPr="003124FB">
              <w:rPr>
                <w:sz w:val="24"/>
                <w:szCs w:val="24"/>
              </w:rPr>
              <w:t>07.11.2013</w:t>
            </w:r>
          </w:p>
        </w:tc>
        <w:tc>
          <w:tcPr>
            <w:tcW w:w="3600" w:type="dxa"/>
          </w:tcPr>
          <w:p w14:paraId="13B7B621" w14:textId="77777777" w:rsidR="00E35C35" w:rsidRPr="003124FB" w:rsidRDefault="00115E22">
            <w:pPr>
              <w:pStyle w:val="TableParagraph"/>
              <w:spacing w:line="253" w:lineRule="exact"/>
              <w:ind w:right="1234"/>
              <w:rPr>
                <w:sz w:val="24"/>
                <w:szCs w:val="24"/>
              </w:rPr>
            </w:pPr>
            <w:r w:rsidRPr="003124FB">
              <w:rPr>
                <w:sz w:val="24"/>
                <w:szCs w:val="24"/>
              </w:rPr>
              <w:t>2013/34</w:t>
            </w:r>
          </w:p>
        </w:tc>
      </w:tr>
      <w:tr w:rsidR="00E35C35" w:rsidRPr="003124FB" w14:paraId="31DAA006" w14:textId="77777777">
        <w:trPr>
          <w:trHeight w:val="276"/>
        </w:trPr>
        <w:tc>
          <w:tcPr>
            <w:tcW w:w="635" w:type="dxa"/>
          </w:tcPr>
          <w:p w14:paraId="778D07C9" w14:textId="77777777" w:rsidR="00E35C35" w:rsidRPr="003124FB" w:rsidRDefault="00E35C35">
            <w:pPr>
              <w:pStyle w:val="TableParagraph"/>
              <w:spacing w:line="240" w:lineRule="auto"/>
              <w:ind w:left="0"/>
              <w:jc w:val="left"/>
              <w:rPr>
                <w:sz w:val="24"/>
                <w:szCs w:val="24"/>
              </w:rPr>
            </w:pPr>
          </w:p>
        </w:tc>
        <w:tc>
          <w:tcPr>
            <w:tcW w:w="3600" w:type="dxa"/>
          </w:tcPr>
          <w:p w14:paraId="78709B9C" w14:textId="77777777" w:rsidR="00E35C35" w:rsidRPr="003124FB" w:rsidRDefault="00115E22">
            <w:pPr>
              <w:pStyle w:val="TableParagraph"/>
              <w:ind w:right="1234"/>
              <w:rPr>
                <w:sz w:val="24"/>
                <w:szCs w:val="24"/>
              </w:rPr>
            </w:pPr>
            <w:r w:rsidRPr="003124FB">
              <w:rPr>
                <w:sz w:val="24"/>
                <w:szCs w:val="24"/>
              </w:rPr>
              <w:t>24.12.2014</w:t>
            </w:r>
          </w:p>
        </w:tc>
        <w:tc>
          <w:tcPr>
            <w:tcW w:w="3600" w:type="dxa"/>
          </w:tcPr>
          <w:p w14:paraId="130E979A" w14:textId="77777777" w:rsidR="00E35C35" w:rsidRPr="003124FB" w:rsidRDefault="00115E22">
            <w:pPr>
              <w:pStyle w:val="TableParagraph"/>
              <w:ind w:right="1234"/>
              <w:rPr>
                <w:sz w:val="24"/>
                <w:szCs w:val="24"/>
              </w:rPr>
            </w:pPr>
            <w:r w:rsidRPr="003124FB">
              <w:rPr>
                <w:sz w:val="24"/>
                <w:szCs w:val="24"/>
              </w:rPr>
              <w:t>2014/40</w:t>
            </w:r>
          </w:p>
        </w:tc>
      </w:tr>
    </w:tbl>
    <w:p w14:paraId="2B39DF0C" w14:textId="77777777" w:rsidR="00115E22" w:rsidRPr="003124FB" w:rsidRDefault="00115E22">
      <w:pPr>
        <w:rPr>
          <w:sz w:val="24"/>
          <w:szCs w:val="24"/>
        </w:rPr>
      </w:pPr>
    </w:p>
    <w:sectPr w:rsidR="00115E22" w:rsidRPr="003124FB">
      <w:headerReference w:type="default" r:id="rId7"/>
      <w:footerReference w:type="default" r:id="rId8"/>
      <w:pgSz w:w="11910" w:h="16840"/>
      <w:pgMar w:top="132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C91A" w14:textId="77777777" w:rsidR="00EF23C7" w:rsidRDefault="00EF23C7" w:rsidP="00991610">
      <w:r>
        <w:separator/>
      </w:r>
    </w:p>
  </w:endnote>
  <w:endnote w:type="continuationSeparator" w:id="0">
    <w:p w14:paraId="3CAE79D0" w14:textId="77777777" w:rsidR="00EF23C7" w:rsidRDefault="00EF23C7" w:rsidP="0099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D7A2" w14:textId="77777777" w:rsidR="00991610" w:rsidRPr="00991610" w:rsidRDefault="00991610" w:rsidP="00991610">
    <w:pPr>
      <w:rPr>
        <w:rFonts w:ascii="Tahoma" w:hAnsi="Tahoma" w:cs="Tahoma"/>
        <w:color w:val="000000"/>
        <w:sz w:val="16"/>
        <w:szCs w:val="16"/>
      </w:rPr>
    </w:pPr>
    <w:r>
      <w:rPr>
        <w:rFonts w:ascii="Tahoma" w:hAnsi="Tahoma" w:cs="Tahoma"/>
        <w:color w:val="000000"/>
        <w:sz w:val="16"/>
        <w:szCs w:val="16"/>
      </w:rPr>
      <w:t xml:space="preserve">Form No: </w:t>
    </w:r>
    <w:r w:rsidRPr="005543A2">
      <w:rPr>
        <w:rFonts w:ascii="Tahoma" w:hAnsi="Tahoma" w:cs="Tahoma"/>
        <w:color w:val="000000"/>
        <w:sz w:val="16"/>
        <w:szCs w:val="16"/>
      </w:rPr>
      <w:t>FR-0</w:t>
    </w:r>
    <w:r>
      <w:rPr>
        <w:rFonts w:ascii="Tahoma" w:hAnsi="Tahoma" w:cs="Tahoma"/>
        <w:color w:val="000000"/>
        <w:sz w:val="16"/>
        <w:szCs w:val="16"/>
      </w:rPr>
      <w:t xml:space="preserve">356 </w:t>
    </w:r>
    <w:r w:rsidRPr="005543A2">
      <w:rPr>
        <w:rFonts w:ascii="Tahoma" w:hAnsi="Tahoma" w:cs="Tahoma"/>
        <w:color w:val="000000"/>
        <w:sz w:val="16"/>
        <w:szCs w:val="16"/>
      </w:rPr>
      <w:t xml:space="preserve">Yayın Tarihi: </w:t>
    </w:r>
    <w:r>
      <w:rPr>
        <w:rFonts w:ascii="Tahoma" w:hAnsi="Tahoma" w:cs="Tahoma"/>
        <w:color w:val="000000"/>
        <w:sz w:val="16"/>
        <w:szCs w:val="16"/>
      </w:rPr>
      <w:t>23.11</w:t>
    </w:r>
    <w:r w:rsidRPr="005543A2">
      <w:rPr>
        <w:rFonts w:ascii="Tahoma" w:hAnsi="Tahoma" w:cs="Tahoma"/>
        <w:color w:val="000000"/>
        <w:sz w:val="16"/>
        <w:szCs w:val="16"/>
      </w:rPr>
      <w:t xml:space="preserve">.2017 </w:t>
    </w:r>
    <w:proofErr w:type="gramStart"/>
    <w:r w:rsidRPr="005543A2">
      <w:rPr>
        <w:rFonts w:ascii="Tahoma" w:hAnsi="Tahoma" w:cs="Tahoma"/>
        <w:color w:val="000000"/>
        <w:sz w:val="16"/>
        <w:szCs w:val="16"/>
      </w:rPr>
      <w:t>Değ.No</w:t>
    </w:r>
    <w:proofErr w:type="gramEnd"/>
    <w:r w:rsidRPr="005543A2">
      <w:rPr>
        <w:rFonts w:ascii="Tahoma" w:hAnsi="Tahoma" w:cs="Tahoma"/>
        <w:color w:val="000000"/>
        <w:sz w:val="16"/>
        <w:szCs w:val="16"/>
      </w:rPr>
      <w:t xml:space="preserve">:0 </w:t>
    </w:r>
    <w:proofErr w:type="spellStart"/>
    <w:r w:rsidRPr="005543A2">
      <w:rPr>
        <w:rFonts w:ascii="Tahoma" w:hAnsi="Tahoma" w:cs="Tahoma"/>
        <w:color w:val="000000"/>
        <w:sz w:val="16"/>
        <w:szCs w:val="16"/>
      </w:rPr>
      <w:t>Değ.Tarihi</w:t>
    </w:r>
    <w:proofErr w:type="spellEnd"/>
    <w:r w:rsidRPr="005543A2">
      <w:rPr>
        <w:rFonts w:ascii="Tahoma" w:hAnsi="Tahoma" w:cs="Tahoma"/>
        <w:color w:val="000000"/>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891D" w14:textId="77777777" w:rsidR="00EF23C7" w:rsidRDefault="00EF23C7" w:rsidP="00991610">
      <w:r>
        <w:separator/>
      </w:r>
    </w:p>
  </w:footnote>
  <w:footnote w:type="continuationSeparator" w:id="0">
    <w:p w14:paraId="231A1D12" w14:textId="77777777" w:rsidR="00EF23C7" w:rsidRDefault="00EF23C7" w:rsidP="00991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698"/>
      <w:gridCol w:w="1474"/>
      <w:gridCol w:w="1350"/>
    </w:tblGrid>
    <w:tr w:rsidR="00991610" w:rsidRPr="002310A9" w14:paraId="17FC0E88" w14:textId="77777777" w:rsidTr="00252D8A">
      <w:trPr>
        <w:trHeight w:val="276"/>
      </w:trPr>
      <w:tc>
        <w:tcPr>
          <w:tcW w:w="1526" w:type="dxa"/>
          <w:vMerge w:val="restart"/>
          <w:shd w:val="clear" w:color="auto" w:fill="auto"/>
          <w:vAlign w:val="center"/>
        </w:tcPr>
        <w:p w14:paraId="15314CF1" w14:textId="77777777" w:rsidR="00991610" w:rsidRPr="002310A9" w:rsidRDefault="00991610" w:rsidP="00252D8A">
          <w:pPr>
            <w:pStyle w:val="stBilgi"/>
          </w:pPr>
          <w:r>
            <w:rPr>
              <w:noProof/>
              <w:lang w:bidi="ar-SA"/>
            </w:rPr>
            <w:drawing>
              <wp:inline distT="0" distB="0" distL="0" distR="0" wp14:anchorId="557A3F6F" wp14:editId="4DE078A3">
                <wp:extent cx="1057275" cy="781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81050"/>
                        </a:xfrm>
                        <a:prstGeom prst="rect">
                          <a:avLst/>
                        </a:prstGeom>
                        <a:noFill/>
                        <a:ln>
                          <a:noFill/>
                        </a:ln>
                      </pic:spPr>
                    </pic:pic>
                  </a:graphicData>
                </a:graphic>
              </wp:inline>
            </w:drawing>
          </w:r>
        </w:p>
      </w:tc>
      <w:tc>
        <w:tcPr>
          <w:tcW w:w="5386" w:type="dxa"/>
          <w:vMerge w:val="restart"/>
          <w:shd w:val="clear" w:color="auto" w:fill="auto"/>
          <w:vAlign w:val="center"/>
        </w:tcPr>
        <w:p w14:paraId="76B1E1F2" w14:textId="77777777" w:rsidR="00991610" w:rsidRPr="002310A9" w:rsidRDefault="00D72116" w:rsidP="00252D8A">
          <w:pPr>
            <w:pStyle w:val="stBilgi"/>
            <w:jc w:val="center"/>
          </w:pPr>
          <w:r>
            <w:rPr>
              <w:b/>
              <w:bCs/>
            </w:rPr>
            <w:t>LİSANSÜSTÜ YABANCI ÖĞRENCİ</w:t>
          </w:r>
          <w:r w:rsidR="00991610">
            <w:rPr>
              <w:b/>
              <w:bCs/>
            </w:rPr>
            <w:t xml:space="preserve"> </w:t>
          </w:r>
          <w:r w:rsidR="00991610" w:rsidRPr="002310A9">
            <w:rPr>
              <w:b/>
              <w:bCs/>
            </w:rPr>
            <w:t>YÖNERGESİ</w:t>
          </w:r>
        </w:p>
      </w:tc>
      <w:tc>
        <w:tcPr>
          <w:tcW w:w="1560" w:type="dxa"/>
          <w:shd w:val="clear" w:color="auto" w:fill="auto"/>
          <w:vAlign w:val="center"/>
        </w:tcPr>
        <w:p w14:paraId="2135FD72" w14:textId="77777777" w:rsidR="00991610" w:rsidRPr="002310A9" w:rsidRDefault="00991610" w:rsidP="00252D8A">
          <w:pPr>
            <w:pStyle w:val="stBilgi"/>
          </w:pPr>
          <w:r w:rsidRPr="002310A9">
            <w:t>Doküman No</w:t>
          </w:r>
        </w:p>
      </w:tc>
      <w:tc>
        <w:tcPr>
          <w:tcW w:w="1382" w:type="dxa"/>
          <w:shd w:val="clear" w:color="auto" w:fill="auto"/>
          <w:vAlign w:val="center"/>
        </w:tcPr>
        <w:p w14:paraId="2F48D40F" w14:textId="75B45D63" w:rsidR="00991610" w:rsidRPr="002310A9" w:rsidRDefault="00991610" w:rsidP="00252D8A">
          <w:pPr>
            <w:pStyle w:val="stBilgi"/>
            <w:rPr>
              <w:b/>
            </w:rPr>
          </w:pPr>
          <w:r w:rsidRPr="002310A9">
            <w:rPr>
              <w:b/>
            </w:rPr>
            <w:t>YÖ-00</w:t>
          </w:r>
          <w:r w:rsidR="00B155AD">
            <w:rPr>
              <w:b/>
            </w:rPr>
            <w:t>0</w:t>
          </w:r>
          <w:r w:rsidR="00B63AD3">
            <w:rPr>
              <w:b/>
            </w:rPr>
            <w:t>8</w:t>
          </w:r>
        </w:p>
      </w:tc>
    </w:tr>
    <w:tr w:rsidR="00991610" w:rsidRPr="002310A9" w14:paraId="32DFEDF2" w14:textId="77777777" w:rsidTr="00252D8A">
      <w:trPr>
        <w:trHeight w:val="276"/>
      </w:trPr>
      <w:tc>
        <w:tcPr>
          <w:tcW w:w="1526" w:type="dxa"/>
          <w:vMerge/>
          <w:shd w:val="clear" w:color="auto" w:fill="auto"/>
          <w:vAlign w:val="center"/>
        </w:tcPr>
        <w:p w14:paraId="3BC62B08" w14:textId="77777777" w:rsidR="00991610" w:rsidRPr="002310A9" w:rsidRDefault="00991610" w:rsidP="00252D8A">
          <w:pPr>
            <w:pStyle w:val="stBilgi"/>
          </w:pPr>
        </w:p>
      </w:tc>
      <w:tc>
        <w:tcPr>
          <w:tcW w:w="5386" w:type="dxa"/>
          <w:vMerge/>
          <w:shd w:val="clear" w:color="auto" w:fill="auto"/>
          <w:vAlign w:val="center"/>
        </w:tcPr>
        <w:p w14:paraId="3C6DB184" w14:textId="77777777" w:rsidR="00991610" w:rsidRPr="002310A9" w:rsidRDefault="00991610" w:rsidP="00252D8A">
          <w:pPr>
            <w:pStyle w:val="stBilgi"/>
          </w:pPr>
        </w:p>
      </w:tc>
      <w:tc>
        <w:tcPr>
          <w:tcW w:w="1560" w:type="dxa"/>
          <w:shd w:val="clear" w:color="auto" w:fill="auto"/>
          <w:vAlign w:val="center"/>
        </w:tcPr>
        <w:p w14:paraId="573FE619" w14:textId="77777777" w:rsidR="00991610" w:rsidRPr="002310A9" w:rsidRDefault="00991610" w:rsidP="00252D8A">
          <w:pPr>
            <w:pStyle w:val="stBilgi"/>
          </w:pPr>
          <w:r w:rsidRPr="002310A9">
            <w:t>Yayın Tarihi</w:t>
          </w:r>
        </w:p>
      </w:tc>
      <w:tc>
        <w:tcPr>
          <w:tcW w:w="1382" w:type="dxa"/>
          <w:shd w:val="clear" w:color="auto" w:fill="auto"/>
          <w:vAlign w:val="center"/>
        </w:tcPr>
        <w:p w14:paraId="496B426B" w14:textId="5E276B2B" w:rsidR="00991610" w:rsidRPr="002310A9" w:rsidRDefault="00B63AD3" w:rsidP="00252D8A">
          <w:pPr>
            <w:pStyle w:val="stBilgi"/>
            <w:rPr>
              <w:b/>
            </w:rPr>
          </w:pPr>
          <w:r>
            <w:rPr>
              <w:b/>
            </w:rPr>
            <w:t>06.12.2017</w:t>
          </w:r>
        </w:p>
      </w:tc>
    </w:tr>
    <w:tr w:rsidR="00991610" w:rsidRPr="002310A9" w14:paraId="22450DFB" w14:textId="77777777" w:rsidTr="00252D8A">
      <w:trPr>
        <w:trHeight w:val="276"/>
      </w:trPr>
      <w:tc>
        <w:tcPr>
          <w:tcW w:w="1526" w:type="dxa"/>
          <w:vMerge/>
          <w:shd w:val="clear" w:color="auto" w:fill="auto"/>
          <w:vAlign w:val="center"/>
        </w:tcPr>
        <w:p w14:paraId="53B8260B" w14:textId="77777777" w:rsidR="00991610" w:rsidRPr="002310A9" w:rsidRDefault="00991610" w:rsidP="00252D8A">
          <w:pPr>
            <w:pStyle w:val="stBilgi"/>
          </w:pPr>
        </w:p>
      </w:tc>
      <w:tc>
        <w:tcPr>
          <w:tcW w:w="5386" w:type="dxa"/>
          <w:vMerge/>
          <w:shd w:val="clear" w:color="auto" w:fill="auto"/>
          <w:vAlign w:val="center"/>
        </w:tcPr>
        <w:p w14:paraId="5A9858A0" w14:textId="77777777" w:rsidR="00991610" w:rsidRPr="002310A9" w:rsidRDefault="00991610" w:rsidP="00252D8A">
          <w:pPr>
            <w:pStyle w:val="stBilgi"/>
          </w:pPr>
        </w:p>
      </w:tc>
      <w:tc>
        <w:tcPr>
          <w:tcW w:w="1560" w:type="dxa"/>
          <w:shd w:val="clear" w:color="auto" w:fill="auto"/>
          <w:vAlign w:val="center"/>
        </w:tcPr>
        <w:p w14:paraId="218CC9CB" w14:textId="77777777" w:rsidR="00991610" w:rsidRPr="002310A9" w:rsidRDefault="00991610" w:rsidP="00252D8A">
          <w:pPr>
            <w:pStyle w:val="stBilgi"/>
          </w:pPr>
          <w:r w:rsidRPr="002310A9">
            <w:t>Revizyon Tarihi</w:t>
          </w:r>
        </w:p>
      </w:tc>
      <w:tc>
        <w:tcPr>
          <w:tcW w:w="1382" w:type="dxa"/>
          <w:shd w:val="clear" w:color="auto" w:fill="auto"/>
          <w:vAlign w:val="center"/>
        </w:tcPr>
        <w:p w14:paraId="31263827" w14:textId="29473B2C" w:rsidR="00991610" w:rsidRPr="002310A9" w:rsidRDefault="00B63AD3" w:rsidP="00252D8A">
          <w:pPr>
            <w:pStyle w:val="stBilgi"/>
            <w:rPr>
              <w:b/>
            </w:rPr>
          </w:pPr>
          <w:r>
            <w:rPr>
              <w:b/>
            </w:rPr>
            <w:t>-</w:t>
          </w:r>
        </w:p>
      </w:tc>
    </w:tr>
    <w:tr w:rsidR="00991610" w:rsidRPr="002310A9" w14:paraId="17278AE6" w14:textId="77777777" w:rsidTr="00252D8A">
      <w:trPr>
        <w:trHeight w:val="276"/>
      </w:trPr>
      <w:tc>
        <w:tcPr>
          <w:tcW w:w="1526" w:type="dxa"/>
          <w:vMerge/>
          <w:shd w:val="clear" w:color="auto" w:fill="auto"/>
          <w:vAlign w:val="center"/>
        </w:tcPr>
        <w:p w14:paraId="4E36198B" w14:textId="77777777" w:rsidR="00991610" w:rsidRPr="002310A9" w:rsidRDefault="00991610" w:rsidP="00252D8A">
          <w:pPr>
            <w:pStyle w:val="stBilgi"/>
          </w:pPr>
        </w:p>
      </w:tc>
      <w:tc>
        <w:tcPr>
          <w:tcW w:w="5386" w:type="dxa"/>
          <w:vMerge/>
          <w:shd w:val="clear" w:color="auto" w:fill="auto"/>
          <w:vAlign w:val="center"/>
        </w:tcPr>
        <w:p w14:paraId="0C7ECEA7" w14:textId="77777777" w:rsidR="00991610" w:rsidRPr="002310A9" w:rsidRDefault="00991610" w:rsidP="00252D8A">
          <w:pPr>
            <w:pStyle w:val="stBilgi"/>
          </w:pPr>
        </w:p>
      </w:tc>
      <w:tc>
        <w:tcPr>
          <w:tcW w:w="1560" w:type="dxa"/>
          <w:shd w:val="clear" w:color="auto" w:fill="auto"/>
          <w:vAlign w:val="center"/>
        </w:tcPr>
        <w:p w14:paraId="77CA9862" w14:textId="77777777" w:rsidR="00991610" w:rsidRPr="002310A9" w:rsidRDefault="00991610" w:rsidP="00252D8A">
          <w:pPr>
            <w:pStyle w:val="stBilgi"/>
          </w:pPr>
          <w:r w:rsidRPr="002310A9">
            <w:t>Revizyon No</w:t>
          </w:r>
        </w:p>
      </w:tc>
      <w:tc>
        <w:tcPr>
          <w:tcW w:w="1382" w:type="dxa"/>
          <w:shd w:val="clear" w:color="auto" w:fill="auto"/>
          <w:vAlign w:val="center"/>
        </w:tcPr>
        <w:p w14:paraId="3244DEE3" w14:textId="20DE632B" w:rsidR="00991610" w:rsidRPr="002310A9" w:rsidRDefault="00B155AD" w:rsidP="00252D8A">
          <w:pPr>
            <w:pStyle w:val="stBilgi"/>
            <w:rPr>
              <w:b/>
            </w:rPr>
          </w:pPr>
          <w:r>
            <w:rPr>
              <w:b/>
            </w:rPr>
            <w:t>0</w:t>
          </w:r>
        </w:p>
      </w:tc>
    </w:tr>
    <w:tr w:rsidR="00991610" w:rsidRPr="002310A9" w14:paraId="7045B90E" w14:textId="77777777" w:rsidTr="00252D8A">
      <w:trPr>
        <w:trHeight w:val="276"/>
      </w:trPr>
      <w:tc>
        <w:tcPr>
          <w:tcW w:w="1526" w:type="dxa"/>
          <w:vMerge/>
          <w:shd w:val="clear" w:color="auto" w:fill="auto"/>
          <w:vAlign w:val="center"/>
        </w:tcPr>
        <w:p w14:paraId="63086AA0" w14:textId="77777777" w:rsidR="00991610" w:rsidRPr="002310A9" w:rsidRDefault="00991610" w:rsidP="00252D8A">
          <w:pPr>
            <w:pStyle w:val="stBilgi"/>
          </w:pPr>
        </w:p>
      </w:tc>
      <w:tc>
        <w:tcPr>
          <w:tcW w:w="5386" w:type="dxa"/>
          <w:vMerge/>
          <w:shd w:val="clear" w:color="auto" w:fill="auto"/>
          <w:vAlign w:val="center"/>
        </w:tcPr>
        <w:p w14:paraId="54EF6A7E" w14:textId="77777777" w:rsidR="00991610" w:rsidRPr="002310A9" w:rsidRDefault="00991610" w:rsidP="00252D8A">
          <w:pPr>
            <w:pStyle w:val="stBilgi"/>
          </w:pPr>
        </w:p>
      </w:tc>
      <w:tc>
        <w:tcPr>
          <w:tcW w:w="1560" w:type="dxa"/>
          <w:shd w:val="clear" w:color="auto" w:fill="auto"/>
          <w:vAlign w:val="center"/>
        </w:tcPr>
        <w:p w14:paraId="7FD552F7" w14:textId="77777777" w:rsidR="00991610" w:rsidRPr="002310A9" w:rsidRDefault="00991610" w:rsidP="00252D8A">
          <w:pPr>
            <w:pStyle w:val="stBilgi"/>
          </w:pPr>
          <w:r w:rsidRPr="002310A9">
            <w:t>Sayfa</w:t>
          </w:r>
        </w:p>
      </w:tc>
      <w:tc>
        <w:tcPr>
          <w:tcW w:w="1382" w:type="dxa"/>
          <w:shd w:val="clear" w:color="auto" w:fill="auto"/>
          <w:vAlign w:val="center"/>
        </w:tcPr>
        <w:p w14:paraId="35DCBCDA" w14:textId="783E9A6E" w:rsidR="00991610" w:rsidRPr="002310A9" w:rsidRDefault="00B63AD3" w:rsidP="00252D8A">
          <w:pPr>
            <w:pStyle w:val="stBilgi"/>
            <w:rPr>
              <w:b/>
            </w:rPr>
          </w:pPr>
          <w:r>
            <w:rPr>
              <w:b/>
            </w:rPr>
            <w:fldChar w:fldCharType="begin"/>
          </w:r>
          <w:r>
            <w:rPr>
              <w:b/>
            </w:rPr>
            <w:instrText xml:space="preserve"> NUMPAGES   \* MERGEFORMAT </w:instrText>
          </w:r>
          <w:r>
            <w:rPr>
              <w:b/>
            </w:rPr>
            <w:fldChar w:fldCharType="separate"/>
          </w:r>
          <w:r w:rsidR="00B155AD">
            <w:rPr>
              <w:b/>
              <w:noProof/>
            </w:rPr>
            <w:t>2</w:t>
          </w:r>
          <w:r>
            <w:rPr>
              <w:b/>
            </w:rPr>
            <w:fldChar w:fldCharType="end"/>
          </w:r>
          <w:r>
            <w:rPr>
              <w:b/>
            </w:rPr>
            <w:t>-</w:t>
          </w:r>
          <w:r>
            <w:rPr>
              <w:b/>
            </w:rPr>
            <w:fldChar w:fldCharType="begin"/>
          </w:r>
          <w:r>
            <w:rPr>
              <w:b/>
            </w:rPr>
            <w:instrText xml:space="preserve"> PAGE  \* Arabic  \* MERGEFORMAT </w:instrText>
          </w:r>
          <w:r>
            <w:rPr>
              <w:b/>
            </w:rPr>
            <w:fldChar w:fldCharType="separate"/>
          </w:r>
          <w:r w:rsidR="00B155AD">
            <w:rPr>
              <w:b/>
              <w:noProof/>
            </w:rPr>
            <w:t>2</w:t>
          </w:r>
          <w:r>
            <w:rPr>
              <w:b/>
            </w:rPr>
            <w:fldChar w:fldCharType="end"/>
          </w:r>
        </w:p>
      </w:tc>
    </w:tr>
  </w:tbl>
  <w:p w14:paraId="3DD94153" w14:textId="77777777" w:rsidR="00991610" w:rsidRDefault="00991610" w:rsidP="009916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49F9"/>
    <w:multiLevelType w:val="hybridMultilevel"/>
    <w:tmpl w:val="18BEB124"/>
    <w:lvl w:ilvl="0" w:tplc="555C1664">
      <w:start w:val="1"/>
      <w:numFmt w:val="decimal"/>
      <w:lvlText w:val="%1."/>
      <w:lvlJc w:val="left"/>
      <w:pPr>
        <w:ind w:left="116" w:hanging="318"/>
        <w:jc w:val="left"/>
      </w:pPr>
      <w:rPr>
        <w:rFonts w:ascii="Times New Roman" w:eastAsia="Times New Roman" w:hAnsi="Times New Roman" w:cs="Times New Roman" w:hint="default"/>
        <w:b/>
        <w:bCs/>
        <w:w w:val="99"/>
        <w:sz w:val="24"/>
        <w:szCs w:val="24"/>
        <w:lang w:val="tr-TR" w:eastAsia="tr-TR" w:bidi="tr-TR"/>
      </w:rPr>
    </w:lvl>
    <w:lvl w:ilvl="1" w:tplc="4C8CFC56">
      <w:numFmt w:val="bullet"/>
      <w:lvlText w:val="•"/>
      <w:lvlJc w:val="left"/>
      <w:pPr>
        <w:ind w:left="1038" w:hanging="318"/>
      </w:pPr>
      <w:rPr>
        <w:rFonts w:hint="default"/>
        <w:lang w:val="tr-TR" w:eastAsia="tr-TR" w:bidi="tr-TR"/>
      </w:rPr>
    </w:lvl>
    <w:lvl w:ilvl="2" w:tplc="00A29006">
      <w:numFmt w:val="bullet"/>
      <w:lvlText w:val="•"/>
      <w:lvlJc w:val="left"/>
      <w:pPr>
        <w:ind w:left="1957" w:hanging="318"/>
      </w:pPr>
      <w:rPr>
        <w:rFonts w:hint="default"/>
        <w:lang w:val="tr-TR" w:eastAsia="tr-TR" w:bidi="tr-TR"/>
      </w:rPr>
    </w:lvl>
    <w:lvl w:ilvl="3" w:tplc="C6B6C446">
      <w:numFmt w:val="bullet"/>
      <w:lvlText w:val="•"/>
      <w:lvlJc w:val="left"/>
      <w:pPr>
        <w:ind w:left="2875" w:hanging="318"/>
      </w:pPr>
      <w:rPr>
        <w:rFonts w:hint="default"/>
        <w:lang w:val="tr-TR" w:eastAsia="tr-TR" w:bidi="tr-TR"/>
      </w:rPr>
    </w:lvl>
    <w:lvl w:ilvl="4" w:tplc="63FE7810">
      <w:numFmt w:val="bullet"/>
      <w:lvlText w:val="•"/>
      <w:lvlJc w:val="left"/>
      <w:pPr>
        <w:ind w:left="3794" w:hanging="318"/>
      </w:pPr>
      <w:rPr>
        <w:rFonts w:hint="default"/>
        <w:lang w:val="tr-TR" w:eastAsia="tr-TR" w:bidi="tr-TR"/>
      </w:rPr>
    </w:lvl>
    <w:lvl w:ilvl="5" w:tplc="60E24E4C">
      <w:numFmt w:val="bullet"/>
      <w:lvlText w:val="•"/>
      <w:lvlJc w:val="left"/>
      <w:pPr>
        <w:ind w:left="4712" w:hanging="318"/>
      </w:pPr>
      <w:rPr>
        <w:rFonts w:hint="default"/>
        <w:lang w:val="tr-TR" w:eastAsia="tr-TR" w:bidi="tr-TR"/>
      </w:rPr>
    </w:lvl>
    <w:lvl w:ilvl="6" w:tplc="2034BB60">
      <w:numFmt w:val="bullet"/>
      <w:lvlText w:val="•"/>
      <w:lvlJc w:val="left"/>
      <w:pPr>
        <w:ind w:left="5631" w:hanging="318"/>
      </w:pPr>
      <w:rPr>
        <w:rFonts w:hint="default"/>
        <w:lang w:val="tr-TR" w:eastAsia="tr-TR" w:bidi="tr-TR"/>
      </w:rPr>
    </w:lvl>
    <w:lvl w:ilvl="7" w:tplc="F2B6C812">
      <w:numFmt w:val="bullet"/>
      <w:lvlText w:val="•"/>
      <w:lvlJc w:val="left"/>
      <w:pPr>
        <w:ind w:left="6549" w:hanging="318"/>
      </w:pPr>
      <w:rPr>
        <w:rFonts w:hint="default"/>
        <w:lang w:val="tr-TR" w:eastAsia="tr-TR" w:bidi="tr-TR"/>
      </w:rPr>
    </w:lvl>
    <w:lvl w:ilvl="8" w:tplc="EFA679FA">
      <w:numFmt w:val="bullet"/>
      <w:lvlText w:val="•"/>
      <w:lvlJc w:val="left"/>
      <w:pPr>
        <w:ind w:left="7468" w:hanging="318"/>
      </w:pPr>
      <w:rPr>
        <w:rFonts w:hint="default"/>
        <w:lang w:val="tr-TR" w:eastAsia="tr-TR" w:bidi="tr-TR"/>
      </w:rPr>
    </w:lvl>
  </w:abstractNum>
  <w:abstractNum w:abstractNumId="1" w15:restartNumberingAfterBreak="0">
    <w:nsid w:val="65596693"/>
    <w:multiLevelType w:val="hybridMultilevel"/>
    <w:tmpl w:val="B364941C"/>
    <w:lvl w:ilvl="0" w:tplc="66EA7E9C">
      <w:start w:val="1"/>
      <w:numFmt w:val="lowerLetter"/>
      <w:lvlText w:val="%1)"/>
      <w:lvlJc w:val="left"/>
      <w:pPr>
        <w:ind w:left="116" w:hanging="260"/>
        <w:jc w:val="left"/>
      </w:pPr>
      <w:rPr>
        <w:rFonts w:ascii="Times New Roman" w:eastAsia="Times New Roman" w:hAnsi="Times New Roman" w:cs="Times New Roman" w:hint="default"/>
        <w:b/>
        <w:bCs/>
        <w:w w:val="99"/>
        <w:sz w:val="24"/>
        <w:szCs w:val="24"/>
        <w:lang w:val="tr-TR" w:eastAsia="tr-TR" w:bidi="tr-TR"/>
      </w:rPr>
    </w:lvl>
    <w:lvl w:ilvl="1" w:tplc="C4FA4CD4">
      <w:numFmt w:val="bullet"/>
      <w:lvlText w:val="•"/>
      <w:lvlJc w:val="left"/>
      <w:pPr>
        <w:ind w:left="1038" w:hanging="260"/>
      </w:pPr>
      <w:rPr>
        <w:rFonts w:hint="default"/>
        <w:lang w:val="tr-TR" w:eastAsia="tr-TR" w:bidi="tr-TR"/>
      </w:rPr>
    </w:lvl>
    <w:lvl w:ilvl="2" w:tplc="C5E6B0D0">
      <w:numFmt w:val="bullet"/>
      <w:lvlText w:val="•"/>
      <w:lvlJc w:val="left"/>
      <w:pPr>
        <w:ind w:left="1957" w:hanging="260"/>
      </w:pPr>
      <w:rPr>
        <w:rFonts w:hint="default"/>
        <w:lang w:val="tr-TR" w:eastAsia="tr-TR" w:bidi="tr-TR"/>
      </w:rPr>
    </w:lvl>
    <w:lvl w:ilvl="3" w:tplc="B43AAD22">
      <w:numFmt w:val="bullet"/>
      <w:lvlText w:val="•"/>
      <w:lvlJc w:val="left"/>
      <w:pPr>
        <w:ind w:left="2875" w:hanging="260"/>
      </w:pPr>
      <w:rPr>
        <w:rFonts w:hint="default"/>
        <w:lang w:val="tr-TR" w:eastAsia="tr-TR" w:bidi="tr-TR"/>
      </w:rPr>
    </w:lvl>
    <w:lvl w:ilvl="4" w:tplc="9AB205E0">
      <w:numFmt w:val="bullet"/>
      <w:lvlText w:val="•"/>
      <w:lvlJc w:val="left"/>
      <w:pPr>
        <w:ind w:left="3794" w:hanging="260"/>
      </w:pPr>
      <w:rPr>
        <w:rFonts w:hint="default"/>
        <w:lang w:val="tr-TR" w:eastAsia="tr-TR" w:bidi="tr-TR"/>
      </w:rPr>
    </w:lvl>
    <w:lvl w:ilvl="5" w:tplc="B36A6E42">
      <w:numFmt w:val="bullet"/>
      <w:lvlText w:val="•"/>
      <w:lvlJc w:val="left"/>
      <w:pPr>
        <w:ind w:left="4712" w:hanging="260"/>
      </w:pPr>
      <w:rPr>
        <w:rFonts w:hint="default"/>
        <w:lang w:val="tr-TR" w:eastAsia="tr-TR" w:bidi="tr-TR"/>
      </w:rPr>
    </w:lvl>
    <w:lvl w:ilvl="6" w:tplc="788AD324">
      <w:numFmt w:val="bullet"/>
      <w:lvlText w:val="•"/>
      <w:lvlJc w:val="left"/>
      <w:pPr>
        <w:ind w:left="5631" w:hanging="260"/>
      </w:pPr>
      <w:rPr>
        <w:rFonts w:hint="default"/>
        <w:lang w:val="tr-TR" w:eastAsia="tr-TR" w:bidi="tr-TR"/>
      </w:rPr>
    </w:lvl>
    <w:lvl w:ilvl="7" w:tplc="B53425FC">
      <w:numFmt w:val="bullet"/>
      <w:lvlText w:val="•"/>
      <w:lvlJc w:val="left"/>
      <w:pPr>
        <w:ind w:left="6549" w:hanging="260"/>
      </w:pPr>
      <w:rPr>
        <w:rFonts w:hint="default"/>
        <w:lang w:val="tr-TR" w:eastAsia="tr-TR" w:bidi="tr-TR"/>
      </w:rPr>
    </w:lvl>
    <w:lvl w:ilvl="8" w:tplc="8A0EB5A2">
      <w:numFmt w:val="bullet"/>
      <w:lvlText w:val="•"/>
      <w:lvlJc w:val="left"/>
      <w:pPr>
        <w:ind w:left="7468" w:hanging="2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35"/>
    <w:rsid w:val="00115E22"/>
    <w:rsid w:val="003124FB"/>
    <w:rsid w:val="00501B67"/>
    <w:rsid w:val="0061656C"/>
    <w:rsid w:val="00991610"/>
    <w:rsid w:val="00B155AD"/>
    <w:rsid w:val="00B63AD3"/>
    <w:rsid w:val="00D72116"/>
    <w:rsid w:val="00DE03AB"/>
    <w:rsid w:val="00E35C35"/>
    <w:rsid w:val="00EF2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E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right="113"/>
      <w:jc w:val="both"/>
    </w:pPr>
  </w:style>
  <w:style w:type="paragraph" w:customStyle="1" w:styleId="TableParagraph">
    <w:name w:val="Table Paragraph"/>
    <w:basedOn w:val="Normal"/>
    <w:uiPriority w:val="1"/>
    <w:qFormat/>
    <w:pPr>
      <w:spacing w:line="257" w:lineRule="exact"/>
      <w:ind w:left="1236"/>
      <w:jc w:val="center"/>
    </w:pPr>
  </w:style>
  <w:style w:type="paragraph" w:styleId="stBilgi">
    <w:name w:val="header"/>
    <w:basedOn w:val="Normal"/>
    <w:link w:val="stBilgiChar"/>
    <w:uiPriority w:val="99"/>
    <w:unhideWhenUsed/>
    <w:rsid w:val="00991610"/>
    <w:pPr>
      <w:tabs>
        <w:tab w:val="center" w:pos="4536"/>
        <w:tab w:val="right" w:pos="9072"/>
      </w:tabs>
    </w:pPr>
  </w:style>
  <w:style w:type="character" w:customStyle="1" w:styleId="stBilgiChar">
    <w:name w:val="Üst Bilgi Char"/>
    <w:basedOn w:val="VarsaylanParagrafYazTipi"/>
    <w:link w:val="stBilgi"/>
    <w:uiPriority w:val="99"/>
    <w:rsid w:val="0099161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91610"/>
    <w:pPr>
      <w:tabs>
        <w:tab w:val="center" w:pos="4536"/>
        <w:tab w:val="right" w:pos="9072"/>
      </w:tabs>
    </w:pPr>
  </w:style>
  <w:style w:type="character" w:customStyle="1" w:styleId="AltBilgiChar">
    <w:name w:val="Alt Bilgi Char"/>
    <w:basedOn w:val="VarsaylanParagrafYazTipi"/>
    <w:link w:val="AltBilgi"/>
    <w:uiPriority w:val="99"/>
    <w:rsid w:val="00991610"/>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991610"/>
    <w:rPr>
      <w:rFonts w:ascii="Tahoma" w:hAnsi="Tahoma" w:cs="Tahoma"/>
      <w:sz w:val="16"/>
      <w:szCs w:val="16"/>
    </w:rPr>
  </w:style>
  <w:style w:type="character" w:customStyle="1" w:styleId="BalonMetniChar">
    <w:name w:val="Balon Metni Char"/>
    <w:basedOn w:val="VarsaylanParagrafYazTipi"/>
    <w:link w:val="BalonMetni"/>
    <w:uiPriority w:val="99"/>
    <w:semiHidden/>
    <w:rsid w:val="00991610"/>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GEBZE TEKNİK ÜNİVERSİTESİ</dc:title>
  <dc:creator>Ayse Odabası</dc:creator>
  <cp:lastModifiedBy>Kalite Ofisi</cp:lastModifiedBy>
  <cp:revision>4</cp:revision>
  <dcterms:created xsi:type="dcterms:W3CDTF">2017-12-06T17:22:00Z</dcterms:created>
  <dcterms:modified xsi:type="dcterms:W3CDTF">2018-06-18T07:29:00Z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Word için Acrobat PDFMaker 11</vt:lpwstr>
  </property>
  <property fmtid="{D5CDD505-2E9C-101B-9397-08002B2CF9AE}" pid="4" name="LastSaved">
    <vt:filetime>2017-12-04T00:00:00Z</vt:filetime>
  </property>
</Properties>
</file>